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R4-2412712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8.2.4.2</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radio and antenna parameters for </w:t>
      </w:r>
      <w:r>
        <w:rPr>
          <w:rFonts w:hint="eastAsia" w:ascii="Arial" w:hAnsi="Arial" w:eastAsia="MS Mincho" w:cs="Arial"/>
          <w:b/>
          <w:sz w:val="24"/>
          <w:szCs w:val="24"/>
          <w:lang w:val="en-US" w:eastAsia="en-US"/>
        </w:rPr>
        <w:t>14800 to 15350 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cs="Times New Roman"/>
          <w:sz w:val="20"/>
          <w:szCs w:val="20"/>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 share </w:t>
      </w:r>
      <w:r>
        <w:rPr>
          <w:rFonts w:hint="eastAsia" w:cs="Times New Roman"/>
          <w:sz w:val="20"/>
          <w:szCs w:val="20"/>
          <w:lang w:val="en-US" w:eastAsia="zh-CN"/>
        </w:rPr>
        <w:t>some views on IMT parameters for 14800-15350MHz.</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120" w:afterLines="50" w:afterAutospacing="0"/>
              <w:ind w:left="0" w:right="0"/>
              <w:rPr>
                <w:rFonts w:hint="default"/>
                <w:b/>
                <w:lang w:eastAsia="zh-CN"/>
              </w:rPr>
            </w:pPr>
            <w:r>
              <w:rPr>
                <w:rFonts w:hint="default"/>
                <w:b/>
                <w:lang w:eastAsia="zh-CN"/>
              </w:rPr>
              <w:t>Way forward</w:t>
            </w:r>
          </w:p>
          <w:p>
            <w:pPr>
              <w:pStyle w:val="52"/>
              <w:keepNext w:val="0"/>
              <w:keepLines w:val="0"/>
              <w:suppressLineNumbers w:val="0"/>
              <w:spacing w:before="0" w:beforeAutospacing="0" w:afterAutospacing="0"/>
              <w:ind w:right="0"/>
              <w:rPr>
                <w:rFonts w:hint="default"/>
                <w:lang w:eastAsia="zh-CN"/>
              </w:rPr>
            </w:pPr>
            <w:r>
              <w:rPr>
                <w:rFonts w:hint="default"/>
                <w:lang w:eastAsia="zh-CN"/>
              </w:rPr>
              <w:t>-</w:t>
            </w:r>
            <w:r>
              <w:rPr>
                <w:rFonts w:hint="default"/>
                <w:lang w:eastAsia="zh-CN"/>
              </w:rPr>
              <w:tab/>
            </w:r>
            <w:r>
              <w:rPr>
                <w:rFonts w:hint="default"/>
                <w:lang w:eastAsia="zh-CN"/>
              </w:rPr>
              <w:t>Further discussing the following issues</w:t>
            </w:r>
          </w:p>
          <w:p>
            <w:pPr>
              <w:keepNext w:val="0"/>
              <w:keepLines w:val="0"/>
              <w:suppressLineNumbers w:val="0"/>
              <w:spacing w:before="0" w:beforeAutospacing="0" w:afterAutospacing="0"/>
              <w:ind w:left="284" w:right="0"/>
              <w:rPr>
                <w:rFonts w:hint="default"/>
                <w:u w:val="single"/>
              </w:rPr>
            </w:pPr>
            <w:r>
              <w:rPr>
                <w:rFonts w:hint="default"/>
                <w:u w:val="single"/>
              </w:rPr>
              <w:t>Issue 3-1 Common understanding on UE antenna array options</w:t>
            </w:r>
          </w:p>
          <w:p>
            <w:pPr>
              <w:pStyle w:val="36"/>
              <w:keepNext w:val="0"/>
              <w:keepLines w:val="0"/>
              <w:numPr>
                <w:ilvl w:val="0"/>
                <w:numId w:val="2"/>
              </w:numPr>
              <w:suppressLineNumbers w:val="0"/>
              <w:spacing w:before="0" w:beforeAutospacing="0" w:afterAutospacing="0"/>
              <w:ind w:left="1004" w:right="0" w:firstLineChars="0"/>
              <w:rPr>
                <w:rFonts w:hint="default"/>
                <w:u w:val="single"/>
              </w:rPr>
            </w:pPr>
            <w:r>
              <w:rPr>
                <w:rFonts w:hint="default"/>
              </w:rPr>
              <w:t>Option 1: “UE beamforming” (FR2 like)</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Assumed to be FR2 like UE, with two panels similar to Rel-14 NR study 38.803</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Analogue like beamforming</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1a: 2x2 antennas per panel</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2: FR1 like</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Assumed to be FR1 like UE with more than one TX/RX antenna</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Isotropic antennas</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2a: 2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2b: 4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2c: 4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2d: 6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2e: 8 RX</w:t>
            </w:r>
          </w:p>
          <w:p>
            <w:pPr>
              <w:keepNext w:val="0"/>
              <w:keepLines w:val="0"/>
              <w:suppressLineNumbers w:val="0"/>
              <w:spacing w:before="0" w:beforeAutospacing="0" w:afterAutospacing="0"/>
              <w:ind w:left="284" w:right="0"/>
              <w:rPr>
                <w:rFonts w:hint="default"/>
                <w:u w:val="single"/>
              </w:rPr>
            </w:pPr>
            <w:r>
              <w:rPr>
                <w:rFonts w:hint="eastAsia"/>
                <w:u w:val="single"/>
                <w:lang w:val="en-US" w:eastAsia="zh-CN"/>
              </w:rPr>
              <w:t>I</w:t>
            </w:r>
            <w:r>
              <w:rPr>
                <w:rFonts w:hint="default"/>
                <w:u w:val="single"/>
              </w:rPr>
              <w:t>ssue 3-2 Initial deployment scenarios</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1: Follow 38.921</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 20m ISD</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[0.2 - 0.45]km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[&lt;=0.9]km sub-urban</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2: 38.803 FR2 assumptions</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Dense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Urban macro</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Other options such as smaller ISD not precluded depending on antenna array assumptions</w:t>
            </w:r>
          </w:p>
          <w:p>
            <w:pPr>
              <w:keepNext w:val="0"/>
              <w:keepLines w:val="0"/>
              <w:suppressLineNumbers w:val="0"/>
              <w:spacing w:before="0" w:beforeAutospacing="0" w:afterAutospacing="0"/>
              <w:ind w:left="284" w:right="0"/>
              <w:rPr>
                <w:rFonts w:hint="default"/>
                <w:u w:val="single"/>
              </w:rPr>
            </w:pPr>
            <w:r>
              <w:rPr>
                <w:rFonts w:hint="default"/>
                <w:u w:val="single"/>
              </w:rPr>
              <w:t xml:space="preserve">Issue 3-3 Initial coordinated operation </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 xml:space="preserve">Option 1: </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Co-ordinated for indoor</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Both co-ordinated and un-co-ordinated for outdoor</w:t>
            </w:r>
          </w:p>
          <w:p>
            <w:pPr>
              <w:keepNext w:val="0"/>
              <w:keepLines w:val="0"/>
              <w:suppressLineNumbers w:val="0"/>
              <w:spacing w:before="0" w:beforeAutospacing="0" w:afterAutospacing="0"/>
              <w:ind w:left="284" w:right="0"/>
              <w:rPr>
                <w:rFonts w:hint="default"/>
                <w:u w:val="single"/>
              </w:rPr>
            </w:pPr>
            <w:r>
              <w:rPr>
                <w:rFonts w:hint="default"/>
                <w:u w:val="single"/>
              </w:rPr>
              <w:t xml:space="preserve">Issue 3-4 Initial views on BS array size </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1: 1024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2: 2048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3: Other sizes</w:t>
            </w:r>
          </w:p>
          <w:p>
            <w:pPr>
              <w:keepNext w:val="0"/>
              <w:keepLines w:val="0"/>
              <w:suppressLineNumbers w:val="0"/>
              <w:spacing w:before="0" w:beforeAutospacing="0" w:afterAutospacing="0"/>
              <w:ind w:left="284" w:right="0"/>
              <w:rPr>
                <w:rFonts w:hint="default"/>
                <w:u w:val="single"/>
              </w:rPr>
            </w:pPr>
            <w:r>
              <w:rPr>
                <w:rFonts w:hint="default"/>
                <w:u w:val="single"/>
              </w:rPr>
              <w:t>Issue 3-5 Initial views on BS sub-array architecture</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1: No sub-arrays</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2: Sub array size 2</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3: Sub array size 3</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4: Sub-array size 4</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5: Sub-array size 6</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6: Sub-array size 8</w:t>
            </w:r>
          </w:p>
          <w:p>
            <w:pPr>
              <w:pStyle w:val="36"/>
              <w:keepNext w:val="0"/>
              <w:keepLines w:val="0"/>
              <w:numPr>
                <w:ilvl w:val="1"/>
                <w:numId w:val="4"/>
              </w:numPr>
              <w:suppressLineNumbers w:val="0"/>
              <w:spacing w:before="0" w:beforeAutospacing="0" w:afterAutospacing="0"/>
              <w:ind w:left="1724" w:right="0" w:firstLineChars="0"/>
              <w:rPr>
                <w:rFonts w:hint="default" w:cs="Times New Roman"/>
                <w:sz w:val="20"/>
                <w:szCs w:val="20"/>
                <w:vertAlign w:val="baseline"/>
                <w:lang w:val="en-US" w:eastAsia="zh-CN"/>
              </w:rPr>
            </w:pPr>
            <w:r>
              <w:rPr>
                <w:rFonts w:hint="default"/>
              </w:rPr>
              <w:t xml:space="preserve">Option 7: Sub-array size 12 </w:t>
            </w:r>
          </w:p>
        </w:tc>
      </w:tr>
    </w:tbl>
    <w:p>
      <w:pPr>
        <w:tabs>
          <w:tab w:val="left" w:pos="2127"/>
        </w:tabs>
        <w:spacing w:after="0"/>
        <w:rPr>
          <w:rFonts w:hint="default" w:cs="Times New Roman"/>
          <w:sz w:val="20"/>
          <w:szCs w:val="20"/>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3"/>
      <w:bookmarkStart w:id="3" w:name="OLE_LINK14"/>
      <w:bookmarkStart w:id="4" w:name="OLE_LINK20"/>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System parameters</w:t>
      </w:r>
    </w:p>
    <w:p>
      <w:pPr>
        <w:widowControl/>
        <w:jc w:val="left"/>
        <w:rPr>
          <w:rFonts w:hint="default" w:ascii="Times New Roman" w:hAnsi="Times New Roman" w:cs="Times New Roman"/>
          <w:b w:val="0"/>
          <w:bCs w:val="0"/>
          <w:lang w:val="en-US" w:eastAsia="zh-CN"/>
        </w:rPr>
      </w:pPr>
      <w:r>
        <w:rPr>
          <w:rFonts w:hint="eastAsia" w:cs="Times New Roman"/>
          <w:b w:val="0"/>
          <w:bCs w:val="0"/>
          <w:lang w:val="en-US" w:eastAsia="zh-CN"/>
        </w:rPr>
        <w:t xml:space="preserve">For this frequency range </w:t>
      </w:r>
      <w:r>
        <w:rPr>
          <w:rFonts w:hint="eastAsia" w:cs="Times New Roman"/>
          <w:sz w:val="20"/>
          <w:szCs w:val="20"/>
          <w:lang w:val="en-US" w:eastAsia="zh-CN"/>
        </w:rPr>
        <w:t>14800-15350MHz</w:t>
      </w:r>
      <w:r>
        <w:rPr>
          <w:rFonts w:hint="eastAsia" w:cs="Times New Roman"/>
          <w:b w:val="0"/>
          <w:bCs w:val="0"/>
          <w:lang w:val="en-US" w:eastAsia="zh-CN"/>
        </w:rPr>
        <w:t>, similar as 6425-7125MHz and 10-10.5GHz, TDD operation should be the default assumption unless there are other operation mode (FDD or SDL or SUL) proposals from certain regions/countries or certain operators.</w:t>
      </w:r>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w:t>
      </w:r>
    </w:p>
    <w:p>
      <w:pPr>
        <w:widowControl/>
        <w:jc w:val="left"/>
        <w:rPr>
          <w:rFonts w:hint="eastAsia" w:cs="Times New Roman"/>
          <w:b w:val="0"/>
          <w:bCs w:val="0"/>
          <w:lang w:val="en-US" w:eastAsia="zh-CN"/>
        </w:rPr>
      </w:pPr>
      <w:r>
        <w:rPr>
          <w:rFonts w:hint="eastAsia" w:cs="Times New Roman"/>
          <w:b w:val="0"/>
          <w:bCs w:val="0"/>
          <w:lang w:val="en-US" w:eastAsia="zh-CN"/>
        </w:rPr>
        <w:t>Regarding the channel bandwidth and transmission bandwidth configuration, even though this frequency range might be targeted for the usage of both IMT-2020 and IMT-2030, this is still discussed under the 5G-A phase and it</w:t>
      </w:r>
      <w:r>
        <w:rPr>
          <w:rFonts w:hint="default" w:cs="Times New Roman"/>
          <w:b w:val="0"/>
          <w:bCs w:val="0"/>
          <w:lang w:val="en-US" w:eastAsia="zh-CN"/>
        </w:rPr>
        <w:t>’</w:t>
      </w:r>
      <w:r>
        <w:rPr>
          <w:rFonts w:hint="eastAsia" w:cs="Times New Roman"/>
          <w:b w:val="0"/>
          <w:bCs w:val="0"/>
          <w:lang w:val="en-US" w:eastAsia="zh-CN"/>
        </w:rPr>
        <w:t>s not clear on 6G system parameter assumption, therefore we propose to follow NR baseline assumptions for 14.8-15.35GHz, however the detailed channel bandwidth and its corresponding SCS need some further discussions.</w:t>
      </w:r>
    </w:p>
    <w:p>
      <w:pPr>
        <w:widowControl/>
        <w:jc w:val="left"/>
        <w:rPr>
          <w:rFonts w:hint="default" w:cs="Times New Roman"/>
          <w:b w:val="0"/>
          <w:bCs w:val="0"/>
          <w:lang w:val="en-US" w:eastAsia="zh-CN"/>
        </w:rPr>
      </w:pPr>
      <w:r>
        <w:rPr>
          <w:rFonts w:hint="eastAsia" w:cs="Times New Roman"/>
          <w:b w:val="0"/>
          <w:bCs w:val="0"/>
          <w:lang w:val="en-US" w:eastAsia="zh-CN"/>
        </w:rPr>
        <w:t xml:space="preserve">First of all, based on the commercial network deployed so far in FR1 high bands (e.g. higher than 2.5GHz), only 30kHz is used, therefore15KHz SCS is not relevant in this spectrum 14.8-15.35GHz from our understanding. For 15GHz, it might be mixture between FR1 and FR2-1 as following.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840"/>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restart"/>
            <w:tcBorders>
              <w:tl2br w:val="single" w:color="auto" w:sz="4" w:space="0"/>
            </w:tcBorders>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p>
        </w:tc>
        <w:tc>
          <w:tcPr>
            <w:tcW w:w="8520" w:type="dxa"/>
            <w:gridSpan w:val="3"/>
          </w:tcPr>
          <w:p>
            <w:pPr>
              <w:keepNext w:val="0"/>
              <w:keepLines w:val="0"/>
              <w:widowControl/>
              <w:suppressLineNumbers w:val="0"/>
              <w:spacing w:before="0" w:beforeAutospacing="0" w:afterAutospacing="0"/>
              <w:ind w:left="0" w:right="0"/>
              <w:jc w:val="center"/>
              <w:rPr>
                <w:rFonts w:hint="eastAsia" w:cs="Times New Roman"/>
                <w:b w:val="0"/>
                <w:bCs w:val="0"/>
                <w:vertAlign w:val="baseline"/>
                <w:lang w:val="en-US" w:eastAsia="zh-CN"/>
              </w:rPr>
            </w:pPr>
            <w:r>
              <w:rPr>
                <w:rFonts w:hint="eastAsia" w:cs="Times New Roman"/>
                <w:b w:val="0"/>
                <w:bCs w:val="0"/>
                <w:vertAlign w:val="baseline"/>
                <w:lang w:val="en-US" w:eastAsia="zh-CN"/>
              </w:rPr>
              <w:t>Maximum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continue"/>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100MHz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200MHz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60kHz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120KHz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vertAlign w:val="baseline"/>
                <w:lang w:val="en-US" w:eastAsia="zh-CN"/>
              </w:rPr>
            </w:pPr>
            <w:r>
              <w:rPr>
                <w:rFonts w:hint="eastAsia" w:cs="Times New Roman"/>
                <w:b w:val="0"/>
                <w:bCs w:val="0"/>
                <w:vertAlign w:val="baseline"/>
                <w:lang w:val="en-US" w:eastAsia="zh-CN"/>
              </w:rPr>
              <w:t>[Yes]</w:t>
            </w:r>
          </w:p>
        </w:tc>
      </w:tr>
    </w:tbl>
    <w:p>
      <w:pPr>
        <w:widowControl/>
        <w:jc w:val="left"/>
        <w:rPr>
          <w:rFonts w:hint="eastAsia" w:cs="Times New Roman"/>
          <w:b w:val="0"/>
          <w:bCs w:val="0"/>
          <w:lang w:val="en-US" w:eastAsia="zh-CN"/>
        </w:rPr>
      </w:pPr>
      <w:r>
        <w:rPr>
          <w:rFonts w:hint="eastAsia" w:cs="Times New Roman"/>
          <w:b w:val="0"/>
          <w:bCs w:val="0"/>
          <w:lang w:val="en-US" w:eastAsia="zh-CN"/>
        </w:rPr>
        <w:t xml:space="preserve"> </w:t>
      </w:r>
    </w:p>
    <w:p>
      <w:pPr>
        <w:widowControl/>
        <w:jc w:val="left"/>
        <w:rPr>
          <w:rFonts w:hint="eastAsia" w:cs="Times New Roman"/>
          <w:b w:val="0"/>
          <w:bCs w:val="0"/>
          <w:lang w:val="en-US" w:eastAsia="zh-CN"/>
        </w:rPr>
      </w:pPr>
      <w:r>
        <w:rPr>
          <w:rFonts w:hint="eastAsia" w:cs="Times New Roman"/>
          <w:b w:val="0"/>
          <w:bCs w:val="0"/>
          <w:lang w:val="en-US" w:eastAsia="zh-CN"/>
        </w:rPr>
        <w:t>Regarding the applicable SCS and maximum channel bandwidth for this frequency range, we need to consider the following factors at least:</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 xml:space="preserve">The targeted deployment scenario </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The achievable BS antenna/power assumptions and UE antenna/power assumptions</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Others, e.g. the potential operators sharing these spectrum</w:t>
      </w:r>
    </w:p>
    <w:p>
      <w:pPr>
        <w:widowControl/>
        <w:numPr>
          <w:ilvl w:val="0"/>
          <w:numId w:val="0"/>
        </w:numPr>
        <w:jc w:val="left"/>
        <w:rPr>
          <w:rFonts w:hint="default" w:cs="Times New Roman"/>
          <w:b w:val="0"/>
          <w:bCs w:val="0"/>
          <w:lang w:val="en-US" w:eastAsia="zh-CN"/>
        </w:rPr>
      </w:pPr>
      <w:r>
        <w:rPr>
          <w:rFonts w:hint="eastAsia" w:cs="Times New Roman"/>
          <w:b w:val="0"/>
          <w:bCs w:val="0"/>
          <w:lang w:val="en-US" w:eastAsia="zh-CN"/>
        </w:rPr>
        <w:t xml:space="preserve">Regarding its targeted deployment scenario, if this is targeted to provide the wide area coverage instead of hotpot coverage, then 30kHz and 60kHz should be treated with high priorities since its longer CP could tolerate larger coverage. If the targeted scenario is still the hotpot coverage to boost the capacity in certain regions, then 60kHz and 120kHz could be treated as high priorities. More inputs/views from the operator are encouraged.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Numerology</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Subcarrier spacing</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CP for long symbols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Distance</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r>
              <w:rPr>
                <w:rFonts w:hint="eastAsia" w:cs="Times New Roman"/>
                <w:b w:val="0"/>
                <w:bCs w:val="0"/>
                <w:vertAlign w:val="baseline"/>
                <w:lang w:val="en-US" w:eastAsia="zh-CN"/>
              </w:rPr>
              <w:t>CP for other symbols</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r>
              <w:rPr>
                <w:rFonts w:hint="eastAsia" w:cs="Times New Roman"/>
                <w:b w:val="0"/>
                <w:bCs w:val="0"/>
                <w:vertAlign w:val="baseline"/>
                <w:lang w:val="en-US" w:eastAsia="zh-CN"/>
              </w:rPr>
              <w:t>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0</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15</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5.2us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1560m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4.69us</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1407m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2.86us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858m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2.34us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703m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60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1.69us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507m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1.17us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351m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120</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1.11us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333m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 xml:space="preserve">0.59us </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175m</w:t>
            </w:r>
          </w:p>
        </w:tc>
      </w:tr>
    </w:tbl>
    <w:p>
      <w:pPr>
        <w:widowControl/>
        <w:jc w:val="left"/>
        <w:rPr>
          <w:rFonts w:hint="default" w:cs="Times New Roman"/>
          <w:b w:val="0"/>
          <w:bCs w:val="0"/>
          <w:lang w:val="en-US" w:eastAsia="zh-CN"/>
        </w:rPr>
      </w:pPr>
      <w:r>
        <w:rPr>
          <w:rFonts w:hint="eastAsia" w:cs="Times New Roman"/>
          <w:b w:val="0"/>
          <w:bCs w:val="0"/>
          <w:lang w:val="en-US" w:eastAsia="zh-CN"/>
        </w:rPr>
        <w:t xml:space="preserve">If the targeted deployment is wide area coverage, then to provide the comparable and competitive deployment with FR1 4GHz bands, at least 12dB higher EIRP value at BS side could be achieved to counteract the increasing pathloss at 15GHz as shown in the following figure. </w:t>
      </w:r>
    </w:p>
    <w:p>
      <w:pPr>
        <w:widowControl/>
        <w:jc w:val="center"/>
      </w:pPr>
      <w:r>
        <w:drawing>
          <wp:inline distT="0" distB="0" distL="114300" distR="114300">
            <wp:extent cx="3238500" cy="2428875"/>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widowControl/>
        <w:jc w:val="center"/>
        <w:rPr>
          <w:rFonts w:hint="default" w:eastAsia="宋体"/>
          <w:b/>
          <w:bCs/>
          <w:lang w:val="en-US" w:eastAsia="zh-CN"/>
        </w:rPr>
      </w:pPr>
      <w:r>
        <w:rPr>
          <w:rFonts w:hint="eastAsia"/>
          <w:b/>
          <w:bCs/>
          <w:lang w:val="en-US" w:eastAsia="zh-CN"/>
        </w:rPr>
        <w:t>Figure 1. FSPL comparison between 4GHz and 15GHz</w:t>
      </w:r>
    </w:p>
    <w:p>
      <w:pPr>
        <w:widowControl/>
        <w:jc w:val="both"/>
        <w:rPr>
          <w:rFonts w:hint="default"/>
          <w:highlight w:val="none"/>
          <w:lang w:val="en-US" w:eastAsia="zh-CN"/>
        </w:rPr>
      </w:pPr>
      <w:r>
        <w:rPr>
          <w:rFonts w:hint="eastAsia"/>
          <w:highlight w:val="none"/>
          <w:lang w:val="en-US" w:eastAsia="zh-CN"/>
        </w:rPr>
        <w:t xml:space="preserve">In order to enable this larger BS EIRP performance at 15GHz, then larger BS antenna array size is expected to achieve better beamforming gain e.g. 4096 antenna elements (e.g. 33dBi beamforming gain) compared with192 BS antenna elements (e.g. 19.8dBi beamforming gain) at 4GHz. Another important factor should be gap of TRP or total conducted power between 4GHz and 15GHz. For 4GHz, its total transmission power per polarization could be up to 52dBm per 100MHz. In order to achieve similar conducted power as 4GHz, for 15GHz with 4096 antenna elements and also with FR2 BS hybrid beamforming architecture assumption, then its supposed transmission power per PA within beamforming chipset should be up to 18.9dBm which is much higher than the assumption used in Rel-15 (e.g. 7-10dBm per PA based CMOS assumption). Indeed its more practical conducted transmission power with 4096 antenna elements assumption should be 40-43dBm per polarization under the Rel-15 mature CMOS PA assumption. In other words, even though the beamforming gain at 15GHz with 4096 antenna elements could be achieve 12dBi beamforming gain to counteract the increasing pathloss, the maximum transmission power at 15GHz is still 10dB lower than that at 4GHz under the 100MHz assumption. </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1</w:t>
      </w:r>
      <w:r>
        <w:rPr>
          <w:rFonts w:hint="eastAsia" w:cs="Times New Roman"/>
          <w:b w:val="0"/>
          <w:bCs w:val="0"/>
          <w:highlight w:val="none"/>
          <w:lang w:val="en-US" w:eastAsia="zh-CN"/>
        </w:rPr>
        <w:t xml:space="preserve">: given the wide area coverage assumption for 15GHz as baseline, even with 4096 antenna elements implementation assuming FR2 hybrid architecture, its total transmission power might be still limiting factor to achieve similar coverage as 4GHz from BS perspective. </w:t>
      </w:r>
    </w:p>
    <w:p>
      <w:pPr>
        <w:widowControl/>
        <w:jc w:val="left"/>
        <w:rPr>
          <w:rFonts w:hint="default" w:cs="Times New Roman"/>
          <w:b w:val="0"/>
          <w:bCs w:val="0"/>
          <w:lang w:val="en-US" w:eastAsia="zh-CN"/>
        </w:rPr>
      </w:pPr>
      <w:r>
        <w:rPr>
          <w:rFonts w:hint="eastAsia" w:cs="Times New Roman"/>
          <w:b w:val="0"/>
          <w:bCs w:val="0"/>
          <w:lang w:val="en-US" w:eastAsia="zh-CN"/>
        </w:rPr>
        <w:t>In order to mitigate the coverage gap between 15GHz and 4GHz, UE with phase antenna array (e.g. 2x2x2 antenna array) could help improve the coverage from both DL and UL coverage. 2x2 antenna assumption could basically offer around 10dBi array gain ideally (e.g. 5dBi antenna elements+6dBi beamforming gain).</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Observation 2</w:t>
      </w:r>
      <w:r>
        <w:rPr>
          <w:rFonts w:hint="eastAsia" w:cs="Times New Roman"/>
          <w:b w:val="0"/>
          <w:bCs w:val="0"/>
          <w:highlight w:val="none"/>
          <w:lang w:val="en-US" w:eastAsia="zh-CN"/>
        </w:rPr>
        <w:t xml:space="preserve">: UE with phase antenna array assumption could offer the additional help on mitigation the coverage gap between 4GHz and 15GHz.  </w:t>
      </w:r>
    </w:p>
    <w:p>
      <w:pPr>
        <w:keepNext w:val="0"/>
        <w:keepLines w:val="0"/>
        <w:widowControl/>
        <w:suppressLineNumbers w:val="0"/>
        <w:jc w:val="left"/>
        <w:rPr>
          <w:rFonts w:hint="default"/>
          <w:lang w:val="en-US"/>
        </w:rPr>
      </w:pPr>
      <w:r>
        <w:rPr>
          <w:rFonts w:hint="eastAsia" w:cs="Times New Roman"/>
          <w:b w:val="0"/>
          <w:bCs w:val="0"/>
          <w:lang w:val="en-US" w:eastAsia="zh-CN"/>
        </w:rPr>
        <w:t>In addition, if assuming 4096 antenna elements at BS side to offer the good coverage performance, due to its large antenna array size or aperture size, then the near field problem should be also taken into account. e.g. 4096 antenna elements with 32x64x2 and its antenna element horizontal spacing is 0.5 lamda and its antenna element vertical spacing is 0.8 lamda, then its near/far filed boundary would be around 115.0m which is much larger than the mini</w:t>
      </w:r>
      <w:r>
        <w:rPr>
          <w:rFonts w:hint="eastAsia" w:ascii="Times New Roman" w:hAnsi="Times New Roman" w:cs="Times New Roman"/>
          <w:b w:val="0"/>
          <w:bCs w:val="0"/>
          <w:lang w:val="en-US" w:eastAsia="zh-CN"/>
        </w:rPr>
        <w:t>mum distance assumption in the existing WA BS class. In other words, for UEs within separation distance 35-115m, UE will be working under the spherical wave propagation instead of plane wave assumed in the past.</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3</w:t>
      </w:r>
      <w:r>
        <w:rPr>
          <w:rFonts w:hint="eastAsia" w:cs="Times New Roman"/>
          <w:b w:val="0"/>
          <w:bCs w:val="0"/>
          <w:highlight w:val="none"/>
          <w:lang w:val="en-US" w:eastAsia="zh-CN"/>
        </w:rPr>
        <w:t xml:space="preserve">: for BS with 4096 antenna elements assumption at 15GHz, both near filed problem should be taken into account according to the current WA BS class assumption. </w:t>
      </w:r>
    </w:p>
    <w:p>
      <w:r>
        <w:t xml:space="preserve">For BS </w:t>
      </w:r>
      <w:r>
        <w:rPr>
          <w:i/>
        </w:rPr>
        <w:t>type 1-O</w:t>
      </w:r>
      <w:r>
        <w:t xml:space="preserve"> and 2-O</w:t>
      </w:r>
      <w:r>
        <w:rPr>
          <w:lang w:eastAsia="zh-CN"/>
        </w:rPr>
        <w:t>, BS classes</w:t>
      </w:r>
      <w:r>
        <w:t xml:space="preserve"> are defined as indicated below:</w:t>
      </w:r>
    </w:p>
    <w:p>
      <w:pPr>
        <w:pStyle w:val="52"/>
        <w:rPr>
          <w:highlight w:val="none"/>
        </w:rPr>
      </w:pPr>
      <w:r>
        <w:rPr>
          <w:highlight w:val="none"/>
        </w:rPr>
        <w:t>-</w:t>
      </w:r>
      <w:r>
        <w:rPr>
          <w:highlight w:val="none"/>
        </w:rPr>
        <w:tab/>
      </w:r>
      <w:r>
        <w:rPr>
          <w:highlight w:val="none"/>
        </w:rPr>
        <w:t>Wide Area Base Stations are characterised by requirements derived from Macro Cell scenarios with a BS to UE minimum distance along the ground equal to 35 m.</w:t>
      </w:r>
    </w:p>
    <w:p>
      <w:pPr>
        <w:pStyle w:val="52"/>
        <w:rPr>
          <w:highlight w:val="none"/>
        </w:rPr>
      </w:pPr>
      <w:r>
        <w:rPr>
          <w:highlight w:val="none"/>
        </w:rPr>
        <w:t>-</w:t>
      </w:r>
      <w:r>
        <w:rPr>
          <w:highlight w:val="none"/>
        </w:rPr>
        <w:tab/>
      </w:r>
      <w:r>
        <w:rPr>
          <w:highlight w:val="none"/>
        </w:rPr>
        <w:t>Medium Range Base Stations are characterised by requirements derived from Micro Cell scenarios with a BS to UE minimum distance along the ground equal to 5 m.</w:t>
      </w:r>
    </w:p>
    <w:p>
      <w:pPr>
        <w:pStyle w:val="52"/>
        <w:rPr>
          <w:highlight w:val="none"/>
        </w:rPr>
      </w:pPr>
      <w:r>
        <w:rPr>
          <w:highlight w:val="none"/>
        </w:rPr>
        <w:t>-</w:t>
      </w:r>
      <w:r>
        <w:rPr>
          <w:highlight w:val="none"/>
        </w:rPr>
        <w:tab/>
      </w:r>
      <w:r>
        <w:rPr>
          <w:highlight w:val="none"/>
        </w:rPr>
        <w:t>Local Area Base Stations are characterised by requirements derived from Pico Cell scenarios with a BS to UE minimum distance along the ground equal to 2 m.</w:t>
      </w:r>
    </w:p>
    <w:p>
      <w:pPr>
        <w:keepNext w:val="0"/>
        <w:keepLines w:val="0"/>
        <w:widowControl/>
        <w:suppressLineNumbers w:val="0"/>
        <w:jc w:val="left"/>
        <w:rPr>
          <w:rFonts w:hint="default" w:cs="Times New Roman"/>
          <w:b w:val="0"/>
          <w:bCs w:val="0"/>
          <w:color w:val="0000FF"/>
          <w:lang w:val="en-US" w:eastAsia="zh-CN"/>
        </w:rPr>
      </w:pPr>
      <w:r>
        <w:rPr>
          <w:rFonts w:hint="eastAsia" w:ascii="Times New Roman" w:hAnsi="Times New Roman" w:cs="Times New Roman"/>
          <w:b w:val="0"/>
          <w:bCs w:val="0"/>
          <w:lang w:val="en-US" w:eastAsia="zh-CN"/>
        </w:rPr>
        <w:t xml:space="preserve">Another alternative solution is to follow the legacy IMT assumption for 6425-10500 MHz under the FR1 BS architecture, however due to the increasing operating frequency at 15GHz, then </w:t>
      </w:r>
      <w:r>
        <w:rPr>
          <w:rFonts w:hint="eastAsia"/>
          <w:szCs w:val="22"/>
          <w:lang w:val="en-US" w:eastAsia="zh-CN"/>
        </w:rPr>
        <w:t>c</w:t>
      </w:r>
      <w:r>
        <w:rPr>
          <w:rFonts w:eastAsia="Calibri"/>
          <w:szCs w:val="22"/>
          <w:lang w:eastAsia="ko-KR"/>
        </w:rPr>
        <w:t xml:space="preserve">onducted power </w:t>
      </w:r>
      <w:r>
        <w:rPr>
          <w:rFonts w:hint="eastAsia"/>
          <w:szCs w:val="22"/>
          <w:lang w:val="en-US" w:eastAsia="zh-CN"/>
        </w:rPr>
        <w:t xml:space="preserve">per element should be reduced accordingly e.g. 3dB further reduction on top of the assumption for </w:t>
      </w:r>
      <w:r>
        <w:rPr>
          <w:rFonts w:hint="eastAsia" w:ascii="Times New Roman" w:hAnsi="Times New Roman" w:cs="Times New Roman"/>
          <w:b w:val="0"/>
          <w:bCs w:val="0"/>
          <w:lang w:val="en-US" w:eastAsia="zh-CN"/>
        </w:rPr>
        <w:t xml:space="preserve">6425-10500 MHz, the exact value for 14.8-15.35GHz could be further discussed. In addition, considering the relatively high frequency range, then its antenna array size could be increased from 16x8 to 16x16 for WA/MR BS at least and 16x8 for Small cell BS. </w:t>
      </w:r>
    </w:p>
    <w:tbl>
      <w:tblPr>
        <w:tblStyle w:val="25"/>
        <w:tblW w:w="55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618"/>
        <w:gridCol w:w="1987"/>
        <w:gridCol w:w="53"/>
        <w:gridCol w:w="979"/>
        <w:gridCol w:w="1964"/>
        <w:gridCol w:w="1959"/>
        <w:gridCol w:w="1745"/>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rPr>
            </w:pP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rPr>
            </w:pPr>
          </w:p>
        </w:tc>
        <w:tc>
          <w:tcPr>
            <w:tcW w:w="443"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rFonts w:hint="default" w:ascii="Times New Roman" w:hAnsi="Times New Roman" w:eastAsia="Calibri" w:cs="Times New Roman"/>
              </w:rPr>
            </w:pPr>
            <w:r>
              <w:rPr>
                <w:rFonts w:hint="default" w:ascii="Times New Roman" w:hAnsi="Times New Roman" w:eastAsia="Calibri" w:cs="Times New Roman"/>
              </w:rPr>
              <w:t>Rural</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bCs/>
              </w:rPr>
            </w:pPr>
            <w:r>
              <w:rPr>
                <w:rFonts w:hint="default" w:ascii="Times New Roman" w:hAnsi="Times New Roman" w:eastAsia="Calibri" w:cs="Times New Roman"/>
              </w:rPr>
              <w:t>Macro suburban</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rPr>
            </w:pPr>
            <w:r>
              <w:rPr>
                <w:rFonts w:hint="default" w:ascii="Times New Roman" w:hAnsi="Times New Roman" w:eastAsia="Calibri" w:cs="Times New Roman"/>
              </w:rPr>
              <w:t>Macro urban</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rPr>
            </w:pPr>
            <w:r>
              <w:rPr>
                <w:rFonts w:hint="default" w:ascii="Times New Roman" w:hAnsi="Times New Roman" w:eastAsia="Calibri" w:cs="Times New Roman"/>
                <w:lang w:val="en-US"/>
              </w:rPr>
              <w:t>Small cell outdoor/</w:t>
            </w:r>
            <w:r>
              <w:rPr>
                <w:rFonts w:hint="default" w:ascii="Times New Roman" w:hAnsi="Times New Roman" w:eastAsia="Calibri" w:cs="Times New Roman"/>
                <w:lang w:val="en-US"/>
              </w:rPr>
              <w:br w:type="textWrapping"/>
            </w:r>
            <w:r>
              <w:rPr>
                <w:rFonts w:hint="default" w:ascii="Times New Roman" w:hAnsi="Times New Roman" w:eastAsia="Calibri" w:cs="Times New Roman"/>
                <w:lang w:val="en-US"/>
              </w:rPr>
              <w:t>Micro urban</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rPr>
            </w:pPr>
            <w:r>
              <w:rPr>
                <w:rFonts w:hint="default" w:ascii="Times New Roman" w:hAnsi="Times New Roman" w:eastAsia="Calibri" w:cs="Times New Roman"/>
                <w:lang w:val="en-US"/>
              </w:rPr>
              <w:t>Small cell indoor/</w:t>
            </w:r>
            <w:r>
              <w:rPr>
                <w:rFonts w:hint="default" w:ascii="Times New Roman" w:hAnsi="Times New Roman" w:eastAsia="Calibri" w:cs="Times New Roman"/>
                <w:lang w:val="en-US"/>
              </w:rPr>
              <w:br w:type="textWrapping"/>
            </w:r>
            <w:r>
              <w:rPr>
                <w:rFonts w:hint="default" w:ascii="Times New Roman" w:hAnsi="Times New Roman" w:eastAsia="Calibri" w:cs="Times New Roman"/>
                <w:lang w:val="en-US"/>
              </w:rPr>
              <w:t>Indoor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314" w:hRule="atLeast"/>
          <w:jc w:val="center"/>
        </w:trPr>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rFonts w:hint="default" w:eastAsia="Calibri"/>
                <w:b/>
                <w:bCs/>
                <w:szCs w:val="22"/>
              </w:rPr>
            </w:pPr>
            <w:r>
              <w:rPr>
                <w:rFonts w:hint="default" w:eastAsia="Calibri"/>
                <w:b/>
                <w:bCs/>
                <w:szCs w:val="22"/>
              </w:rPr>
              <w:t>1</w:t>
            </w:r>
          </w:p>
        </w:tc>
        <w:tc>
          <w:tcPr>
            <w:tcW w:w="4716" w:type="pct"/>
            <w:gridSpan w:val="7"/>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rFonts w:hint="default" w:eastAsia="Calibri"/>
                <w:b/>
                <w:bCs/>
                <w:szCs w:val="22"/>
              </w:rPr>
            </w:pPr>
            <w:r>
              <w:rPr>
                <w:rFonts w:hint="default" w:eastAsia="Calibri"/>
                <w:b/>
                <w:bCs/>
                <w:szCs w:val="22"/>
              </w:rP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20" w:hRule="atLeast"/>
          <w:jc w:val="center"/>
        </w:trPr>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jc w:val="right"/>
              <w:rPr>
                <w:rFonts w:hint="default" w:eastAsia="Calibri"/>
                <w:szCs w:val="22"/>
              </w:rPr>
            </w:pPr>
            <w:r>
              <w:rPr>
                <w:rFonts w:hint="default" w:eastAsia="Calibri"/>
                <w:szCs w:val="22"/>
              </w:rPr>
              <w:t>1.1</w:t>
            </w:r>
          </w:p>
        </w:tc>
        <w:tc>
          <w:tcPr>
            <w:tcW w:w="90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rFonts w:hint="default" w:eastAsia="Calibri"/>
                <w:szCs w:val="22"/>
              </w:rPr>
            </w:pPr>
            <w:r>
              <w:rPr>
                <w:rFonts w:hint="default"/>
                <w:lang w:eastAsia="ja-JP"/>
              </w:rPr>
              <w:t>A</w:t>
            </w:r>
            <w:r>
              <w:rPr>
                <w:rFonts w:hint="default"/>
                <w:lang w:eastAsia="ko-KR"/>
              </w:rPr>
              <w:t>ntenna pattern</w:t>
            </w:r>
            <w:r>
              <w:rPr>
                <w:rFonts w:hint="default"/>
                <w:lang w:eastAsia="ja-JP"/>
              </w:rPr>
              <w:t xml:space="preserve"> </w:t>
            </w:r>
          </w:p>
        </w:tc>
        <w:tc>
          <w:tcPr>
            <w:tcW w:w="3815" w:type="pct"/>
            <w:gridSpan w:val="6"/>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rFonts w:hint="default" w:eastAsia="Calibri"/>
                <w:szCs w:val="22"/>
                <w:highlight w:val="yellow"/>
              </w:rPr>
            </w:pPr>
            <w:r>
              <w:rPr>
                <w:rFonts w:hint="default"/>
                <w:highlight w:val="yellow"/>
              </w:rPr>
              <w:t xml:space="preserve">Refer to Recommendation </w:t>
            </w:r>
            <w:r>
              <w:rPr>
                <w:rFonts w:hint="default"/>
              </w:rPr>
              <w:fldChar w:fldCharType="begin"/>
            </w:r>
            <w:r>
              <w:rPr>
                <w:rFonts w:hint="default"/>
              </w:rPr>
              <w:instrText xml:space="preserve"> HYPERLINK "https://www.itu.int/dms_pubrec/itu-r/rec/m/R-REC-M.2101-0-201702-I!!PDF-E.pdf" </w:instrText>
            </w:r>
            <w:r>
              <w:rPr>
                <w:rFonts w:hint="default"/>
              </w:rPr>
              <w:fldChar w:fldCharType="separate"/>
            </w:r>
            <w:r>
              <w:rPr>
                <w:rStyle w:val="31"/>
                <w:rFonts w:hint="default"/>
                <w:highlight w:val="yellow"/>
              </w:rPr>
              <w:t>ITU-R M.2101</w:t>
            </w:r>
            <w:r>
              <w:rPr>
                <w:rStyle w:val="31"/>
                <w:rFonts w:hint="default"/>
                <w:highlight w:val="yellow"/>
              </w:rPr>
              <w:fldChar w:fldCharType="end"/>
            </w:r>
          </w:p>
          <w:p>
            <w:pPr>
              <w:keepNext/>
              <w:keepLines/>
              <w:suppressLineNumbers w:val="0"/>
              <w:spacing w:before="40" w:beforeAutospacing="0" w:after="20" w:afterAutospacing="0"/>
              <w:ind w:left="0" w:right="0"/>
              <w:jc w:val="center"/>
              <w:rPr>
                <w:rFonts w:hint="default" w:eastAsia="Calibri"/>
                <w:szCs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rPr>
            </w:pPr>
            <w:r>
              <w:rPr>
                <w:rFonts w:hint="default" w:eastAsia="Calibri"/>
                <w:szCs w:val="22"/>
              </w:rPr>
              <w:t>1.2</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zh-CN"/>
              </w:rPr>
            </w:pPr>
            <w:r>
              <w:rPr>
                <w:rFonts w:hint="default"/>
                <w:lang w:eastAsia="ja-JP"/>
              </w:rPr>
              <w:t xml:space="preserve">Element gain </w:t>
            </w:r>
            <w:r>
              <w:rPr>
                <w:rFonts w:hint="default"/>
              </w:rPr>
              <w:t>(dBi)</w:t>
            </w:r>
            <w:r>
              <w:rPr>
                <w:rFonts w:hint="default"/>
                <w:vertAlign w:val="superscript"/>
                <w:lang w:eastAsia="ko-KR"/>
              </w:rPr>
              <w:t xml:space="preserve"> (Note 1)</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6.4</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5.5</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rPr>
              <w:t>5.5</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rPr>
            </w:pPr>
            <w:r>
              <w:rPr>
                <w:rFonts w:hint="default" w:eastAsia="Calibri"/>
                <w:szCs w:val="22"/>
              </w:rPr>
              <w:t>1.3</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ja-JP"/>
              </w:rPr>
            </w:pPr>
            <w:r>
              <w:rPr>
                <w:rFonts w:hint="default"/>
                <w:lang w:val="en-US" w:eastAsia="ja-JP"/>
              </w:rPr>
              <w:t>Horizontal/vertical 3 dB beamwidth of single element (degree)</w:t>
            </w:r>
            <w:r>
              <w:rPr>
                <w:rFonts w:hint="default"/>
                <w:lang w:val="en-US" w:eastAsia="ko-KR"/>
              </w:rPr>
              <w:t xml:space="preserve">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lang w:val="en-US"/>
              </w:rPr>
              <w:t>90</w:t>
            </w:r>
            <w:r>
              <w:rPr>
                <w:rFonts w:hint="default"/>
                <w:lang w:val="en-US" w:eastAsia="ko-KR"/>
              </w:rPr>
              <w:t xml:space="preserve">º </w:t>
            </w:r>
            <w:r>
              <w:rPr>
                <w:rFonts w:hint="default"/>
                <w:lang w:val="en-US"/>
              </w:rPr>
              <w:t xml:space="preserve">for </w:t>
            </w:r>
            <w:r>
              <w:rPr>
                <w:rFonts w:hint="default"/>
                <w:lang w:val="en-US" w:eastAsia="ko-KR"/>
              </w:rPr>
              <w:t>H</w:t>
            </w:r>
            <w:r>
              <w:rPr>
                <w:rFonts w:hint="default"/>
                <w:lang w:val="en-US" w:eastAsia="ko-KR"/>
              </w:rPr>
              <w:br w:type="textWrapping"/>
            </w:r>
            <w:r>
              <w:rPr>
                <w:rFonts w:hint="default"/>
                <w:lang w:val="en-US"/>
              </w:rPr>
              <w:t>65</w:t>
            </w:r>
            <w:r>
              <w:rPr>
                <w:rFonts w:hint="default"/>
                <w:lang w:val="en-US" w:eastAsia="ko-KR"/>
              </w:rPr>
              <w:t xml:space="preserve">º </w:t>
            </w:r>
            <w:r>
              <w:rPr>
                <w:rFonts w:hint="default"/>
                <w:lang w:val="en-US"/>
              </w:rPr>
              <w:t xml:space="preserve">for </w:t>
            </w:r>
            <w:r>
              <w:rPr>
                <w:rFonts w:hint="default"/>
                <w:lang w:val="en-US" w:eastAsia="ko-KR"/>
              </w:rPr>
              <w:t>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lang w:val="en-US"/>
              </w:rPr>
              <w:t>90</w:t>
            </w:r>
            <w:r>
              <w:rPr>
                <w:rFonts w:hint="default"/>
                <w:lang w:val="en-US" w:eastAsia="ko-KR"/>
              </w:rPr>
              <w:t xml:space="preserve">º </w:t>
            </w:r>
            <w:r>
              <w:rPr>
                <w:rFonts w:hint="default"/>
                <w:lang w:val="en-US"/>
              </w:rPr>
              <w:t xml:space="preserve">for </w:t>
            </w:r>
            <w:r>
              <w:rPr>
                <w:rFonts w:hint="default"/>
                <w:lang w:val="en-US" w:eastAsia="ko-KR"/>
              </w:rPr>
              <w:t>H</w:t>
            </w:r>
            <w:r>
              <w:rPr>
                <w:rFonts w:hint="default"/>
                <w:lang w:val="en-US" w:eastAsia="ko-KR"/>
              </w:rPr>
              <w:br w:type="textWrapping"/>
            </w:r>
            <w:r>
              <w:rPr>
                <w:rFonts w:hint="default"/>
                <w:lang w:val="en-US"/>
              </w:rPr>
              <w:t>90</w:t>
            </w:r>
            <w:r>
              <w:rPr>
                <w:rFonts w:hint="default"/>
                <w:lang w:val="en-US" w:eastAsia="ko-KR"/>
              </w:rPr>
              <w:t xml:space="preserve">º </w:t>
            </w:r>
            <w:r>
              <w:rPr>
                <w:rFonts w:hint="default"/>
                <w:lang w:val="en-US"/>
              </w:rPr>
              <w:t xml:space="preserve">for </w:t>
            </w:r>
            <w:r>
              <w:rPr>
                <w:rFonts w:hint="default"/>
                <w:lang w:val="en-US" w:eastAsia="ko-KR"/>
              </w:rPr>
              <w:t>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lang w:val="en-US"/>
              </w:rPr>
              <w:t>90</w:t>
            </w:r>
            <w:r>
              <w:rPr>
                <w:rFonts w:hint="default"/>
                <w:lang w:val="en-US" w:eastAsia="ko-KR"/>
              </w:rPr>
              <w:t xml:space="preserve">º </w:t>
            </w:r>
            <w:r>
              <w:rPr>
                <w:rFonts w:hint="default"/>
                <w:lang w:val="en-US"/>
              </w:rPr>
              <w:t xml:space="preserve">for </w:t>
            </w:r>
            <w:r>
              <w:rPr>
                <w:rFonts w:hint="default"/>
                <w:lang w:val="en-US" w:eastAsia="ko-KR"/>
              </w:rPr>
              <w:t>H</w:t>
            </w:r>
            <w:r>
              <w:rPr>
                <w:rFonts w:hint="default"/>
                <w:lang w:val="en-US" w:eastAsia="ko-KR"/>
              </w:rPr>
              <w:br w:type="textWrapping"/>
            </w:r>
            <w:r>
              <w:rPr>
                <w:rFonts w:hint="default"/>
                <w:lang w:val="en-US"/>
              </w:rPr>
              <w:t>90</w:t>
            </w:r>
            <w:r>
              <w:rPr>
                <w:rFonts w:hint="default"/>
                <w:lang w:val="en-US" w:eastAsia="ko-KR"/>
              </w:rPr>
              <w:t xml:space="preserve">º </w:t>
            </w:r>
            <w:r>
              <w:rPr>
                <w:rFonts w:hint="default"/>
                <w:lang w:val="en-US"/>
              </w:rPr>
              <w:t xml:space="preserve">for </w:t>
            </w:r>
            <w:r>
              <w:rPr>
                <w:rFonts w:hint="default"/>
                <w:lang w:val="en-US" w:eastAsia="ko-KR"/>
              </w:rPr>
              <w:t>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lang w:val="en-US"/>
              </w:rPr>
              <w:t>90</w:t>
            </w:r>
            <w:r>
              <w:rPr>
                <w:rFonts w:hint="default"/>
                <w:highlight w:val="yellow"/>
                <w:lang w:val="en-US" w:eastAsia="ko-KR"/>
              </w:rPr>
              <w:t xml:space="preserve">º </w:t>
            </w:r>
            <w:r>
              <w:rPr>
                <w:rFonts w:hint="default"/>
                <w:highlight w:val="yellow"/>
                <w:lang w:val="en-US"/>
              </w:rPr>
              <w:t xml:space="preserve">for </w:t>
            </w:r>
            <w:r>
              <w:rPr>
                <w:rFonts w:hint="default"/>
                <w:highlight w:val="yellow"/>
                <w:lang w:val="en-US" w:eastAsia="ko-KR"/>
              </w:rPr>
              <w:t>H</w:t>
            </w:r>
            <w:r>
              <w:rPr>
                <w:rFonts w:hint="default"/>
                <w:highlight w:val="yellow"/>
                <w:lang w:val="en-US" w:eastAsia="ko-KR"/>
              </w:rPr>
              <w:br w:type="textWrapping"/>
            </w:r>
            <w:r>
              <w:rPr>
                <w:rFonts w:hint="default"/>
                <w:highlight w:val="yellow"/>
                <w:lang w:val="en-US"/>
              </w:rPr>
              <w:t>90</w:t>
            </w:r>
            <w:r>
              <w:rPr>
                <w:rFonts w:hint="default"/>
                <w:highlight w:val="yellow"/>
                <w:lang w:val="en-US" w:eastAsia="ko-KR"/>
              </w:rPr>
              <w:t xml:space="preserve">º </w:t>
            </w:r>
            <w:r>
              <w:rPr>
                <w:rFonts w:hint="default"/>
                <w:highlight w:val="yellow"/>
                <w:lang w:val="en-US"/>
              </w:rPr>
              <w:t xml:space="preserve">for </w:t>
            </w:r>
            <w:r>
              <w:rPr>
                <w:rFonts w:hint="default"/>
                <w:highlight w:val="yellow"/>
                <w:lang w:val="en-US"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rPr>
            </w:pPr>
            <w:r>
              <w:rPr>
                <w:rFonts w:hint="default" w:eastAsia="Calibri"/>
                <w:szCs w:val="22"/>
              </w:rPr>
              <w:t>1.4</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zh-CN"/>
              </w:rPr>
            </w:pPr>
            <w:r>
              <w:rPr>
                <w:rFonts w:hint="default"/>
                <w:lang w:val="en-US"/>
              </w:rPr>
              <w:t>Horizontal/vertical front</w:t>
            </w:r>
            <w:r>
              <w:rPr>
                <w:rFonts w:hint="default"/>
                <w:lang w:val="en-US"/>
              </w:rPr>
              <w:noBreakHyphen/>
            </w:r>
            <w:r>
              <w:rPr>
                <w:rFonts w:hint="default"/>
                <w:lang w:val="en-US"/>
              </w:rPr>
              <w:t>to</w:t>
            </w:r>
            <w:r>
              <w:rPr>
                <w:rFonts w:hint="default"/>
                <w:lang w:val="en-US"/>
              </w:rPr>
              <w:noBreakHyphen/>
            </w:r>
            <w:r>
              <w:rPr>
                <w:rFonts w:hint="default"/>
                <w:lang w:val="en-US"/>
              </w:rPr>
              <w:t>back ratio (dB)</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30 for both H/V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30 for both H/V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30 for both H/V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rPr>
            </w:pPr>
            <w:r>
              <w:rPr>
                <w:rFonts w:hint="default" w:eastAsia="Calibri"/>
                <w:szCs w:val="22"/>
              </w:rPr>
              <w:t>1.5</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zh-CN"/>
              </w:rPr>
            </w:pPr>
            <w:r>
              <w:rPr>
                <w:rFonts w:hint="default"/>
                <w:lang w:eastAsia="ja-JP"/>
              </w:rPr>
              <w:t xml:space="preserve">Antenna polarization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Linear ±45</w:t>
            </w:r>
            <w:r>
              <w:rPr>
                <w:rFonts w:hint="default"/>
                <w:lang w:eastAsia="ko-KR"/>
              </w:rPr>
              <w:t>º</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Linear ±45</w:t>
            </w:r>
            <w:r>
              <w:rPr>
                <w:rFonts w:hint="default"/>
                <w:lang w:eastAsia="ko-KR"/>
              </w:rPr>
              <w:t>º</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Linear ±45</w:t>
            </w:r>
            <w:r>
              <w:rPr>
                <w:rFonts w:hint="default"/>
                <w:lang w:eastAsia="ko-KR"/>
              </w:rPr>
              <w:t>º</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rPr>
              <w:t xml:space="preserve"> Linear ±45</w:t>
            </w:r>
            <w:r>
              <w:rPr>
                <w:rFonts w:hint="default"/>
                <w:highlight w:val="yellow"/>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yellow"/>
              </w:rPr>
            </w:pPr>
            <w:r>
              <w:rPr>
                <w:rFonts w:hint="default" w:eastAsia="Calibri"/>
                <w:szCs w:val="22"/>
                <w:highlight w:val="yellow"/>
              </w:rPr>
              <w:t>1.6</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yellow"/>
              </w:rPr>
            </w:pPr>
            <w:r>
              <w:rPr>
                <w:rFonts w:hint="default"/>
                <w:highlight w:val="yellow"/>
                <w:lang w:val="en-US"/>
              </w:rPr>
              <w:t>Antenna array configuration (Row × Column)</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rPr>
              <w:t>16 × </w:t>
            </w:r>
            <w:r>
              <w:rPr>
                <w:rFonts w:hint="eastAsia"/>
                <w:highlight w:val="yellow"/>
                <w:lang w:val="en-US" w:eastAsia="zh-CN"/>
              </w:rPr>
              <w:t>16</w:t>
            </w:r>
            <w:r>
              <w:rPr>
                <w:rFonts w:hint="default"/>
                <w:highlight w:val="yellow"/>
              </w:rPr>
              <w:t xml:space="preserve"> </w:t>
            </w:r>
            <w:r>
              <w:rPr>
                <w:rFonts w:hint="eastAsia"/>
                <w:highlight w:val="yellow"/>
                <w:lang w:val="en-US" w:eastAsia="zh-CN"/>
              </w:rPr>
              <w:t>sub-array</w:t>
            </w:r>
          </w:p>
        </w:tc>
        <w:tc>
          <w:tcPr>
            <w:tcW w:w="888"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lang w:eastAsia="ko-KR"/>
              </w:rPr>
            </w:pPr>
            <w:r>
              <w:rPr>
                <w:rFonts w:hint="default"/>
                <w:highlight w:val="yellow"/>
              </w:rPr>
              <w:t>16 ×</w:t>
            </w:r>
            <w:r>
              <w:rPr>
                <w:rFonts w:hint="eastAsia"/>
                <w:highlight w:val="yellow"/>
                <w:lang w:val="en-US" w:eastAsia="zh-CN"/>
              </w:rPr>
              <w:t>16</w:t>
            </w:r>
            <w:r>
              <w:rPr>
                <w:rFonts w:hint="default"/>
                <w:highlight w:val="yellow"/>
              </w:rPr>
              <w:t xml:space="preserve"> </w:t>
            </w:r>
            <w:r>
              <w:rPr>
                <w:rFonts w:hint="eastAsia"/>
                <w:highlight w:val="yellow"/>
                <w:lang w:val="en-US" w:eastAsia="zh-CN"/>
              </w:rPr>
              <w:t>sub-array</w:t>
            </w:r>
          </w:p>
        </w:tc>
        <w:tc>
          <w:tcPr>
            <w:tcW w:w="791"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lang w:eastAsia="ko-KR"/>
              </w:rPr>
            </w:pPr>
            <w:r>
              <w:rPr>
                <w:rFonts w:hint="eastAsia"/>
                <w:highlight w:val="yellow"/>
                <w:lang w:val="en-US" w:eastAsia="zh-CN"/>
              </w:rPr>
              <w:t>16</w:t>
            </w:r>
            <w:r>
              <w:rPr>
                <w:rFonts w:hint="default"/>
                <w:highlight w:val="yellow"/>
              </w:rPr>
              <w:t xml:space="preserve"> × 8 </w:t>
            </w:r>
            <w:r>
              <w:rPr>
                <w:rFonts w:hint="eastAsia"/>
                <w:highlight w:val="yellow"/>
                <w:lang w:val="en-US" w:eastAsia="zh-CN"/>
              </w:rPr>
              <w:t>sub-array</w:t>
            </w:r>
          </w:p>
        </w:tc>
        <w:tc>
          <w:tcPr>
            <w:tcW w:w="778"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lang w:eastAsia="ko-KR"/>
              </w:rPr>
            </w:pPr>
            <w:r>
              <w:rPr>
                <w:rFonts w:hint="default"/>
                <w:highlight w:val="yellow"/>
              </w:rPr>
              <w:t>4 × 4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rPr>
            </w:pPr>
            <w:r>
              <w:rPr>
                <w:rFonts w:hint="default" w:eastAsia="Calibri"/>
                <w:szCs w:val="22"/>
              </w:rPr>
              <w:t>1.7</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rPr>
            </w:pPr>
            <w:r>
              <w:rPr>
                <w:rFonts w:hint="default"/>
                <w:lang w:val="en-US"/>
              </w:rPr>
              <w:t xml:space="preserve">Horizontal/Vertical radiating element spacing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lang w:val="en-US"/>
              </w:rPr>
              <w:t>0.5 of wavelength</w:t>
            </w:r>
            <w:r>
              <w:rPr>
                <w:rFonts w:hint="default"/>
                <w:lang w:val="en-US"/>
              </w:rPr>
              <w:br w:type="textWrapping"/>
            </w:r>
            <w:r>
              <w:rPr>
                <w:rFonts w:hint="default"/>
                <w:lang w:val="en-US"/>
              </w:rPr>
              <w:t>for H, 0.7 of wavelength for 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lang w:val="en-US"/>
              </w:rPr>
              <w:t xml:space="preserve">0.5 of wavelength </w:t>
            </w:r>
            <w:r>
              <w:rPr>
                <w:rFonts w:hint="default"/>
                <w:lang w:val="en-US"/>
              </w:rPr>
              <w:br w:type="textWrapping"/>
            </w:r>
            <w:r>
              <w:rPr>
                <w:rFonts w:hint="default"/>
                <w:lang w:val="en-US"/>
              </w:rPr>
              <w:t>for H, 0.5 of wavelength for 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lang w:val="en-US"/>
              </w:rPr>
              <w:t xml:space="preserve">0.5 of wavelength </w:t>
            </w:r>
            <w:r>
              <w:rPr>
                <w:rFonts w:hint="default"/>
                <w:lang w:val="en-US"/>
              </w:rPr>
              <w:br w:type="textWrapping"/>
            </w:r>
            <w:r>
              <w:rPr>
                <w:rFonts w:hint="default"/>
                <w:lang w:val="en-US"/>
              </w:rPr>
              <w:t>for H, 0.5 of wavelength for 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lang w:val="en-US"/>
              </w:rPr>
              <w:t xml:space="preserve">0.5 of wavelength </w:t>
            </w:r>
            <w:r>
              <w:rPr>
                <w:rFonts w:hint="default"/>
                <w:highlight w:val="yellow"/>
                <w:lang w:val="en-US"/>
              </w:rPr>
              <w:br w:type="textWrapping"/>
            </w:r>
            <w:r>
              <w:rPr>
                <w:rFonts w:hint="default"/>
                <w:highlight w:val="yellow"/>
                <w:lang w:val="en-US"/>
              </w:rPr>
              <w:t>for H, 0.5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rPr>
            </w:pPr>
            <w:r>
              <w:rPr>
                <w:rFonts w:hint="default" w:eastAsia="Calibri"/>
                <w:szCs w:val="22"/>
              </w:rPr>
              <w:t>1.8</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rPr>
            </w:pPr>
            <w:r>
              <w:rPr>
                <w:rFonts w:hint="default"/>
                <w:lang w:val="en-US" w:eastAsia="ko-KR"/>
              </w:rPr>
              <w:t>Array Ohmic loss (dB)</w:t>
            </w:r>
            <w:r>
              <w:rPr>
                <w:rFonts w:hint="default"/>
                <w:vertAlign w:val="superscript"/>
                <w:lang w:val="en-US" w:eastAsia="ko-KR"/>
              </w:rPr>
              <w:t xml:space="preserve"> (Note 1)</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rPr>
              <w:t>2</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rPr>
            </w:pPr>
            <w:r>
              <w:rPr>
                <w:rFonts w:hint="default"/>
              </w:rPr>
              <w:t>2</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40" w:beforeAutospacing="0" w:after="20" w:afterAutospacing="0"/>
              <w:ind w:left="1134" w:right="0" w:hanging="1134"/>
              <w:jc w:val="center"/>
              <w:outlineLvl w:val="1"/>
              <w:rPr>
                <w:rFonts w:hint="default" w:eastAsia="Calibri"/>
                <w:b/>
                <w:szCs w:val="22"/>
              </w:rPr>
            </w:pPr>
            <w:r>
              <w:rPr>
                <w:rFonts w:hint="default"/>
              </w:rPr>
              <w:t>2</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highlight w:val="yello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rPr>
            </w:pPr>
            <w:r>
              <w:rPr>
                <w:rFonts w:hint="default" w:eastAsia="Calibri"/>
                <w:szCs w:val="22"/>
              </w:rPr>
              <w:t>1.9</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ko-KR"/>
              </w:rPr>
            </w:pPr>
            <w:r>
              <w:rPr>
                <w:rFonts w:hint="default" w:eastAsia="Calibri"/>
                <w:szCs w:val="22"/>
                <w:lang w:eastAsia="ko-KR"/>
              </w:rPr>
              <w:t>Conducted power (before Ohmic loss) per antenna element</w:t>
            </w:r>
            <w:r>
              <w:rPr>
                <w:rFonts w:hint="default" w:eastAsia="Calibri"/>
                <w:szCs w:val="22"/>
                <w:lang w:eastAsia="zh-CN"/>
              </w:rPr>
              <w:t xml:space="preserve"> (dBm)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lang w:val="en-US" w:eastAsia="zh-CN"/>
              </w:rPr>
            </w:pPr>
            <w:r>
              <w:rPr>
                <w:rFonts w:hint="eastAsia"/>
                <w:lang w:val="en-US" w:eastAsia="zh-CN"/>
              </w:rPr>
              <w:t>[19]</w:t>
            </w:r>
          </w:p>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eastAsia="Calibri"/>
                <w:szCs w:val="22"/>
                <w:vertAlign w:val="superscript"/>
                <w:lang w:eastAsia="ko-KR"/>
              </w:rPr>
              <w:t>(Note 5)</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lang w:val="en-US" w:eastAsia="zh-CN"/>
              </w:rPr>
            </w:pPr>
            <w:r>
              <w:rPr>
                <w:rFonts w:hint="eastAsia"/>
                <w:lang w:val="en-US" w:eastAsia="zh-CN"/>
              </w:rPr>
              <w:t>[19]</w:t>
            </w:r>
          </w:p>
          <w:p>
            <w:pPr>
              <w:keepNext w:val="0"/>
              <w:keepLines w:val="0"/>
              <w:suppressLineNumbers w:val="0"/>
              <w:spacing w:before="40" w:beforeAutospacing="0" w:after="20" w:afterAutospacing="0"/>
              <w:ind w:left="0" w:right="0"/>
              <w:jc w:val="center"/>
              <w:rPr>
                <w:rFonts w:hint="default" w:eastAsia="Calibri"/>
                <w:szCs w:val="22"/>
              </w:rPr>
            </w:pPr>
            <w:r>
              <w:rPr>
                <w:rFonts w:hint="default" w:eastAsia="Calibri"/>
                <w:szCs w:val="22"/>
                <w:vertAlign w:val="superscript"/>
                <w:lang w:eastAsia="ko-KR"/>
              </w:rPr>
              <w:t>(Note 5)</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eastAsia" w:eastAsia="宋体"/>
                <w:szCs w:val="22"/>
                <w:lang w:val="en-US" w:eastAsia="zh-CN"/>
              </w:rPr>
            </w:pPr>
            <w:r>
              <w:rPr>
                <w:rFonts w:hint="eastAsia"/>
                <w:szCs w:val="22"/>
                <w:lang w:val="en-US" w:eastAsia="zh-CN"/>
              </w:rPr>
              <w:t>[</w:t>
            </w:r>
            <w:r>
              <w:rPr>
                <w:rFonts w:hint="default" w:eastAsia="Calibri"/>
                <w:szCs w:val="22"/>
                <w:lang w:eastAsia="ko-KR"/>
              </w:rPr>
              <w:t>16</w:t>
            </w:r>
            <w:r>
              <w:rPr>
                <w:rFonts w:hint="eastAsia"/>
                <w:szCs w:val="22"/>
                <w:lang w:val="en-US" w:eastAsia="zh-CN"/>
              </w:rPr>
              <w:t>]</w:t>
            </w:r>
          </w:p>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eastAsia="Calibri"/>
                <w:szCs w:val="22"/>
                <w:vertAlign w:val="superscript"/>
                <w:lang w:eastAsia="ko-KR"/>
              </w:rPr>
              <w:t>(Note 6)</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eastAsia" w:eastAsia="宋体"/>
                <w:szCs w:val="22"/>
                <w:highlight w:val="yellow"/>
                <w:lang w:val="en-US" w:eastAsia="zh-CN"/>
              </w:rPr>
            </w:pPr>
            <w:r>
              <w:rPr>
                <w:rFonts w:hint="eastAsia"/>
                <w:highlight w:val="yellow"/>
                <w:lang w:val="en-US" w:eastAsia="zh-CN"/>
              </w:rPr>
              <w:t>[</w:t>
            </w:r>
            <w:r>
              <w:rPr>
                <w:rFonts w:hint="default"/>
                <w:highlight w:val="yellow"/>
              </w:rPr>
              <w:t>9</w:t>
            </w:r>
            <w:r>
              <w:rPr>
                <w:rFonts w:hint="eastAsia"/>
                <w:highlight w:val="yellow"/>
                <w:lang w:val="en-US" w:eastAsia="zh-CN"/>
              </w:rPr>
              <w:t>]</w:t>
            </w:r>
          </w:p>
          <w:p>
            <w:pPr>
              <w:keepNext w:val="0"/>
              <w:keepLines w:val="0"/>
              <w:suppressLineNumbers w:val="0"/>
              <w:spacing w:before="40" w:beforeAutospacing="0" w:after="20" w:afterAutospacing="0"/>
              <w:ind w:left="0" w:right="0"/>
              <w:jc w:val="center"/>
              <w:rPr>
                <w:rFonts w:hint="default" w:eastAsia="Calibri"/>
                <w:szCs w:val="22"/>
                <w:highlight w:val="yellow"/>
              </w:rPr>
            </w:pPr>
            <w:r>
              <w:rPr>
                <w:rFonts w:hint="default" w:eastAsia="Calibri"/>
                <w:szCs w:val="22"/>
                <w:highlight w:val="yellow"/>
                <w:vertAlign w:val="superscript"/>
                <w:lang w:eastAsia="ko-KR"/>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lang w:eastAsia="ko-KR"/>
              </w:rPr>
            </w:pPr>
            <w:r>
              <w:rPr>
                <w:rFonts w:hint="default" w:eastAsia="Calibri"/>
                <w:szCs w:val="22"/>
                <w:lang w:eastAsia="ko-KR"/>
              </w:rPr>
              <w:t>1.10</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ko-KR"/>
              </w:rPr>
            </w:pPr>
            <w:r>
              <w:rPr>
                <w:rFonts w:hint="default"/>
                <w:lang w:val="en-US" w:eastAsia="ko-KR"/>
              </w:rPr>
              <w:t>Base station maximum coverage angle in the horizontal plane (degrees)</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lang w:eastAsia="ko-KR"/>
              </w:rPr>
            </w:pPr>
            <w:r>
              <w:rPr>
                <w:rFonts w:hint="default" w:eastAsia="Calibri"/>
                <w:szCs w:val="22"/>
                <w:lang w:eastAsia="ko-KR"/>
              </w:rPr>
              <w:t>1.11</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ko-KR"/>
              </w:rPr>
            </w:pPr>
            <w:r>
              <w:rPr>
                <w:rFonts w:hint="default"/>
                <w:lang w:val="en-US" w:eastAsia="ko-KR"/>
              </w:rPr>
              <w:t xml:space="preserve">Base station vertical coverage range (degrees) </w:t>
            </w:r>
            <w:r>
              <w:rPr>
                <w:rFonts w:hint="default"/>
                <w:vertAlign w:val="superscript"/>
                <w:lang w:val="en-US" w:eastAsia="ko-KR"/>
              </w:rPr>
              <w:t>(Note 3, 4)</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lang w:eastAsia="ko-KR"/>
              </w:rPr>
            </w:pPr>
            <w:r>
              <w:rPr>
                <w:rFonts w:hint="default"/>
                <w:color w:val="000000"/>
              </w:rPr>
              <w:t>90-100</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90-120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90-120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lang w:eastAsia="ko-KR"/>
              </w:rPr>
            </w:pPr>
            <w:r>
              <w:rPr>
                <w:rFonts w:hint="default" w:eastAsia="Calibri"/>
                <w:szCs w:val="22"/>
                <w:lang w:eastAsia="ko-KR"/>
              </w:rPr>
              <w:t>1.12</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lang w:eastAsia="ko-KR"/>
              </w:rPr>
            </w:pPr>
            <w:r>
              <w:rPr>
                <w:rFonts w:hint="default"/>
                <w:lang w:eastAsia="ko-KR"/>
              </w:rPr>
              <w:t xml:space="preserve">Mechanical downtilt (degrees) </w:t>
            </w:r>
            <w:r>
              <w:rPr>
                <w:rFonts w:hint="default"/>
                <w:vertAlign w:val="superscript"/>
                <w:lang w:eastAsia="ko-KR"/>
              </w:rPr>
              <w:t>(Note 4)</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lang w:val="en-US" w:eastAsia="zh-CN"/>
              </w:rPr>
            </w:pPr>
            <w:r>
              <w:rPr>
                <w:rFonts w:hint="default"/>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lang w:val="en-US" w:eastAsia="zh-CN"/>
              </w:rPr>
            </w:pPr>
            <w:r>
              <w:rPr>
                <w:rFonts w:hint="default"/>
                <w:color w:val="000000"/>
              </w:rPr>
              <w:t>6</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10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10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left"/>
              <w:rPr>
                <w:rFonts w:hint="default" w:eastAsia="宋体"/>
                <w:highlight w:val="none"/>
                <w:lang w:val="en-US" w:eastAsia="zh-CN"/>
              </w:rPr>
            </w:pPr>
            <w:r>
              <w:rPr>
                <w:rFonts w:hint="eastAsia"/>
                <w:highlight w:val="yellow"/>
                <w:lang w:val="en-US" w:eastAsia="zh-CN"/>
              </w:rPr>
              <w:t>NOTE: 1x4 or other configuration could be assumed per sub-array.</w:t>
            </w:r>
          </w:p>
        </w:tc>
      </w:tr>
    </w:tbl>
    <w:p>
      <w:pPr>
        <w:widowControl/>
        <w:jc w:val="left"/>
        <w:rPr>
          <w:rFonts w:hint="eastAsia" w:cs="Times New Roman"/>
          <w:b w:val="0"/>
          <w:bCs w:val="0"/>
          <w:color w:val="0000FF"/>
          <w:lang w:val="en-US" w:eastAsia="zh-CN"/>
        </w:rPr>
      </w:pPr>
      <w:r>
        <w:rPr>
          <w:rFonts w:hint="eastAsia" w:cs="Times New Roman"/>
          <w:b w:val="0"/>
          <w:bCs w:val="0"/>
          <w:color w:val="0000FF"/>
          <w:lang w:val="en-US" w:eastAsia="zh-CN"/>
        </w:rPr>
        <w:t xml:space="preserve"> </w:t>
      </w:r>
    </w:p>
    <w:p>
      <w:pPr>
        <w:keepNext w:val="0"/>
        <w:keepLines w:val="0"/>
        <w:widowControl/>
        <w:suppressLineNumbers w:val="0"/>
        <w:jc w:val="left"/>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From this alternative solution, even though the achievable EIRP from BS side at 15GHz could achieve similar performance as 6425-7125MHz, however from the propagation channel perspective, there are still 7dB gap observed at least. Similar logic as we considered before, UE with phase antenna array could be enabled to help improve the coverage on this frequency range. </w:t>
      </w:r>
    </w:p>
    <w:p>
      <w:pPr>
        <w:widowControl/>
        <w:jc w:val="center"/>
      </w:pPr>
      <w:r>
        <w:drawing>
          <wp:inline distT="0" distB="0" distL="114300" distR="114300">
            <wp:extent cx="3238500" cy="242887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widowControl/>
        <w:jc w:val="center"/>
        <w:rPr>
          <w:rFonts w:hint="default" w:eastAsia="宋体"/>
          <w:b/>
          <w:bCs/>
          <w:lang w:val="en-US" w:eastAsia="zh-CN"/>
        </w:rPr>
      </w:pPr>
      <w:r>
        <w:rPr>
          <w:rFonts w:hint="eastAsia"/>
          <w:b/>
          <w:bCs/>
          <w:lang w:val="en-US" w:eastAsia="zh-CN"/>
        </w:rPr>
        <w:t>Figure 2. FSPL comparison between 7GHz and 15GHz</w:t>
      </w:r>
    </w:p>
    <w:p>
      <w:pPr>
        <w:widowControl/>
        <w:jc w:val="left"/>
        <w:rPr>
          <w:rFonts w:hint="eastAsia" w:cs="Times New Roman"/>
          <w:b w:val="0"/>
          <w:bCs w:val="0"/>
          <w:lang w:val="en-US" w:eastAsia="zh-CN"/>
        </w:rPr>
      </w:pPr>
      <w:r>
        <w:rPr>
          <w:rFonts w:hint="eastAsia" w:cs="Times New Roman"/>
          <w:b/>
          <w:bCs/>
          <w:lang w:val="en-US" w:eastAsia="zh-CN"/>
        </w:rPr>
        <w:t>Observation 4</w:t>
      </w:r>
      <w:r>
        <w:rPr>
          <w:rFonts w:hint="eastAsia" w:cs="Times New Roman"/>
          <w:b w:val="0"/>
          <w:bCs w:val="0"/>
          <w:lang w:val="en-US" w:eastAsia="zh-CN"/>
        </w:rPr>
        <w:t xml:space="preserve">: UE with phase antenna array assumption could offer the additional help on mitigation the coverage gap between 7GHz and 15GHz. </w:t>
      </w:r>
    </w:p>
    <w:p>
      <w:pPr>
        <w:widowControl/>
        <w:jc w:val="left"/>
        <w:rPr>
          <w:rFonts w:hint="eastAsia" w:ascii="Times New Roman" w:hAnsi="Times New Roman" w:cs="Times New Roman"/>
          <w:b w:val="0"/>
          <w:bCs w:val="0"/>
          <w:lang w:val="en-US" w:eastAsia="zh-CN"/>
        </w:rPr>
      </w:pPr>
      <w:r>
        <w:rPr>
          <w:rFonts w:hint="eastAsia" w:cs="Times New Roman"/>
          <w:b w:val="0"/>
          <w:bCs w:val="0"/>
          <w:lang w:val="en-US" w:eastAsia="zh-CN"/>
        </w:rPr>
        <w:t>In addition, if assuming 512 antenna elements at BS side to offer the good coverage performance, near/far filed problem might be not problematic g. 512 antenna elements with 16x16x2 and its antenna element horizontal spacing is 0.5 lamda and its antenna element vertical spacing is 0.8 lamda, then its near/far filed boundary would be around 9.0m which is within the mini</w:t>
      </w:r>
      <w:r>
        <w:rPr>
          <w:rFonts w:hint="eastAsia" w:ascii="Times New Roman" w:hAnsi="Times New Roman" w:cs="Times New Roman"/>
          <w:b w:val="0"/>
          <w:bCs w:val="0"/>
          <w:lang w:val="en-US" w:eastAsia="zh-CN"/>
        </w:rPr>
        <w:t xml:space="preserve">mum distance assumption (e.g. 35m) in the existing WA BS class. </w:t>
      </w:r>
    </w:p>
    <w:p>
      <w:pPr>
        <w:jc w:val="left"/>
        <w:outlineLvl w:val="1"/>
        <w:rPr>
          <w:rFonts w:hint="default" w:eastAsia="宋体"/>
          <w:color w:val="auto"/>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2</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BS RF requirements</w:t>
      </w:r>
    </w:p>
    <w:p>
      <w:pPr>
        <w:widowControl/>
        <w:jc w:val="left"/>
        <w:rPr>
          <w:rFonts w:hint="eastAsia" w:cs="Times New Roman"/>
          <w:color w:val="auto"/>
          <w:lang w:val="en-US" w:eastAsia="zh-CN"/>
        </w:rPr>
      </w:pPr>
      <w:r>
        <w:rPr>
          <w:rFonts w:hint="eastAsia" w:cs="Times New Roman"/>
          <w:color w:val="auto"/>
          <w:lang w:val="en-US" w:eastAsia="zh-CN"/>
        </w:rPr>
        <w:t xml:space="preserve">Regarding the BS RF requirements for </w:t>
      </w:r>
      <w:r>
        <w:rPr>
          <w:rFonts w:hint="eastAsia" w:cs="Times New Roman"/>
          <w:color w:val="auto"/>
          <w:sz w:val="20"/>
          <w:szCs w:val="20"/>
          <w:lang w:val="en-US" w:eastAsia="zh-CN"/>
        </w:rPr>
        <w:t>14800-15350MHz</w:t>
      </w:r>
      <w:r>
        <w:rPr>
          <w:rFonts w:hint="eastAsia" w:cs="Times New Roman"/>
          <w:color w:val="auto"/>
          <w:lang w:val="en-US" w:eastAsia="zh-CN"/>
        </w:rPr>
        <w:t>, it</w:t>
      </w:r>
      <w:r>
        <w:rPr>
          <w:rFonts w:hint="default" w:cs="Times New Roman"/>
          <w:color w:val="auto"/>
          <w:lang w:val="en-US" w:eastAsia="zh-CN"/>
        </w:rPr>
        <w:t>’</w:t>
      </w:r>
      <w:r>
        <w:rPr>
          <w:rFonts w:hint="eastAsia" w:cs="Times New Roman"/>
          <w:color w:val="auto"/>
          <w:lang w:val="en-US" w:eastAsia="zh-CN"/>
        </w:rPr>
        <w:t>s still premature to discuss all these requirements, however from our understanding, the following requirements should be discussed with high priorities:</w:t>
      </w:r>
    </w:p>
    <w:p>
      <w:pPr>
        <w:widowControl/>
        <w:numPr>
          <w:ilvl w:val="0"/>
          <w:numId w:val="6"/>
        </w:numPr>
        <w:jc w:val="left"/>
        <w:rPr>
          <w:rFonts w:hint="default" w:cs="Times New Roman"/>
          <w:color w:val="auto"/>
          <w:lang w:val="en-US" w:eastAsia="zh-CN"/>
        </w:rPr>
      </w:pPr>
      <w:r>
        <w:rPr>
          <w:rFonts w:hint="eastAsia" w:cs="Times New Roman"/>
          <w:color w:val="auto"/>
          <w:lang w:val="en-US" w:eastAsia="zh-CN"/>
        </w:rPr>
        <w:t>ACLR</w:t>
      </w:r>
    </w:p>
    <w:p>
      <w:pPr>
        <w:widowControl/>
        <w:numPr>
          <w:ilvl w:val="0"/>
          <w:numId w:val="6"/>
        </w:numPr>
        <w:jc w:val="left"/>
        <w:rPr>
          <w:rFonts w:hint="default" w:cs="Times New Roman"/>
          <w:color w:val="auto"/>
          <w:lang w:val="en-US" w:eastAsia="zh-CN"/>
        </w:rPr>
      </w:pPr>
      <w:r>
        <w:rPr>
          <w:rFonts w:hint="eastAsia" w:cs="Times New Roman"/>
          <w:color w:val="auto"/>
          <w:lang w:val="en-US" w:eastAsia="zh-CN"/>
        </w:rPr>
        <w:t>UEM, f_OBUE requirement</w:t>
      </w:r>
    </w:p>
    <w:p>
      <w:pPr>
        <w:widowControl/>
        <w:numPr>
          <w:ilvl w:val="0"/>
          <w:numId w:val="6"/>
        </w:numPr>
        <w:jc w:val="left"/>
        <w:rPr>
          <w:rFonts w:hint="default" w:cs="Times New Roman"/>
          <w:color w:val="auto"/>
          <w:lang w:val="en-US" w:eastAsia="zh-CN"/>
        </w:rPr>
      </w:pPr>
      <w:r>
        <w:rPr>
          <w:rFonts w:hint="eastAsia" w:cs="Times New Roman"/>
          <w:color w:val="auto"/>
          <w:lang w:val="en-US" w:eastAsia="zh-CN"/>
        </w:rPr>
        <w:t>ACS requirements;</w:t>
      </w:r>
    </w:p>
    <w:p>
      <w:pPr>
        <w:widowControl/>
        <w:numPr>
          <w:ilvl w:val="0"/>
          <w:numId w:val="6"/>
        </w:numPr>
        <w:jc w:val="left"/>
        <w:rPr>
          <w:rFonts w:hint="default" w:cs="Times New Roman"/>
          <w:b w:val="0"/>
          <w:bCs w:val="0"/>
          <w:color w:val="auto"/>
          <w:lang w:val="en-US" w:eastAsia="zh-CN"/>
        </w:rPr>
      </w:pPr>
      <w:r>
        <w:rPr>
          <w:rFonts w:hint="eastAsia" w:cs="Times New Roman"/>
          <w:color w:val="auto"/>
          <w:lang w:val="en-US" w:eastAsia="zh-CN"/>
        </w:rPr>
        <w:t>OOBB and f_OOBB requirement</w:t>
      </w:r>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2</w:t>
      </w:r>
      <w:r>
        <w:rPr>
          <w:rFonts w:hint="eastAsia" w:cs="Times New Roman"/>
          <w:color w:val="auto"/>
          <w:lang w:val="en-US" w:eastAsia="zh-CN"/>
        </w:rPr>
        <w:t>: prioritize the following BS RF requirements for the following discussions: ACLR, UEM, f_OBUE requirement, ACS requirements, OOBB and f_OOBB requirements.</w:t>
      </w:r>
    </w:p>
    <w:p>
      <w:pPr>
        <w:jc w:val="left"/>
        <w:outlineLvl w:val="1"/>
        <w:rPr>
          <w:rFonts w:hint="default" w:eastAsia="宋体"/>
          <w:color w:val="auto"/>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3</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UE RF requirements</w:t>
      </w:r>
    </w:p>
    <w:p>
      <w:pPr>
        <w:widowControl/>
        <w:jc w:val="left"/>
        <w:rPr>
          <w:rFonts w:hint="eastAsia" w:cs="Times New Roman"/>
          <w:color w:val="auto"/>
          <w:lang w:val="en-US" w:eastAsia="zh-CN"/>
        </w:rPr>
      </w:pPr>
      <w:r>
        <w:rPr>
          <w:rFonts w:hint="eastAsia" w:cs="Times New Roman"/>
          <w:color w:val="auto"/>
          <w:lang w:val="en-US" w:eastAsia="zh-CN"/>
        </w:rPr>
        <w:t xml:space="preserve">Regarding the UE RF requirement for </w:t>
      </w:r>
      <w:r>
        <w:rPr>
          <w:rFonts w:hint="eastAsia" w:cs="Times New Roman"/>
          <w:color w:val="auto"/>
          <w:sz w:val="20"/>
          <w:szCs w:val="20"/>
          <w:lang w:val="en-US" w:eastAsia="zh-CN"/>
        </w:rPr>
        <w:t>14800-15350MHz</w:t>
      </w:r>
      <w:r>
        <w:rPr>
          <w:rFonts w:hint="eastAsia" w:cs="Times New Roman"/>
          <w:color w:val="auto"/>
          <w:lang w:val="en-US" w:eastAsia="zh-CN"/>
        </w:rPr>
        <w:t>, similar as BS RF requirements, it</w:t>
      </w:r>
      <w:r>
        <w:rPr>
          <w:rFonts w:hint="default" w:cs="Times New Roman"/>
          <w:color w:val="auto"/>
          <w:lang w:val="en-US" w:eastAsia="zh-CN"/>
        </w:rPr>
        <w:t>’</w:t>
      </w:r>
      <w:r>
        <w:rPr>
          <w:rFonts w:hint="eastAsia" w:cs="Times New Roman"/>
          <w:color w:val="auto"/>
          <w:lang w:val="en-US" w:eastAsia="zh-CN"/>
        </w:rPr>
        <w:t>s still premature to discuss all these RF requirements, the following requirement should be discussed with high priorities:</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Maximum output power</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Power dynamic range</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Spectral mask</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 xml:space="preserve">ACLR </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Noise figure</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Sensitivity</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ACS</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 xml:space="preserve">Blocking </w:t>
      </w:r>
      <w:bookmarkEnd w:id="1"/>
      <w:bookmarkEnd w:id="2"/>
      <w:bookmarkEnd w:id="3"/>
      <w:bookmarkEnd w:id="4"/>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3</w:t>
      </w:r>
      <w:r>
        <w:rPr>
          <w:rFonts w:hint="eastAsia" w:cs="Times New Roman"/>
          <w:color w:val="auto"/>
          <w:lang w:val="en-US" w:eastAsia="zh-CN"/>
        </w:rPr>
        <w:t>: prioritize the following UE RF requirements for the following discussions: Maximum output power, Power dynamic range, spectral mask, ACLR, Noise figure, Sensitivity, ACS, Blocking.</w:t>
      </w:r>
    </w:p>
    <w:p>
      <w:pPr>
        <w:pStyle w:val="57"/>
        <w:tabs>
          <w:tab w:val="left" w:pos="567"/>
          <w:tab w:val="clear" w:pos="1985"/>
        </w:tabs>
        <w:adjustRightInd w:val="0"/>
        <w:ind w:left="510" w:hanging="510"/>
      </w:pPr>
      <w:r>
        <w:t>Conclusions</w:t>
      </w:r>
    </w:p>
    <w:p>
      <w:pPr>
        <w:jc w:val="left"/>
        <w:rPr>
          <w:rFonts w:hint="default" w:eastAsia="宋体"/>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IMT parameters for </w:t>
      </w:r>
      <w:r>
        <w:rPr>
          <w:rFonts w:hint="eastAsia" w:cs="Times New Roman"/>
          <w:sz w:val="20"/>
          <w:szCs w:val="20"/>
          <w:lang w:val="en-US" w:eastAsia="zh-CN"/>
        </w:rPr>
        <w:t>14800-15350MHz and proposals/observations are made as following:</w:t>
      </w:r>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w:t>
      </w:r>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2</w:t>
      </w:r>
      <w:r>
        <w:rPr>
          <w:rFonts w:hint="eastAsia" w:cs="Times New Roman"/>
          <w:color w:val="auto"/>
          <w:lang w:val="en-US" w:eastAsia="zh-CN"/>
        </w:rPr>
        <w:t>: prioritize the following BS RF requirements for the following discussions: ACLR, UEM, f_OBUE requirement, NF, ACS requirements, OOBB and f_OOBB requirements.</w:t>
      </w:r>
    </w:p>
    <w:p>
      <w:pPr>
        <w:widowControl/>
        <w:numPr>
          <w:ilvl w:val="0"/>
          <w:numId w:val="0"/>
        </w:numPr>
        <w:jc w:val="left"/>
        <w:rPr>
          <w:rFonts w:hint="eastAsia" w:cs="Times New Roman"/>
          <w:color w:val="auto"/>
          <w:lang w:val="en-US" w:eastAsia="zh-CN"/>
        </w:rPr>
      </w:pPr>
      <w:r>
        <w:rPr>
          <w:rFonts w:hint="eastAsia" w:cs="Times New Roman"/>
          <w:b/>
          <w:bCs/>
          <w:color w:val="auto"/>
          <w:lang w:val="en-US" w:eastAsia="zh-CN"/>
        </w:rPr>
        <w:t>Proposal 3</w:t>
      </w:r>
      <w:r>
        <w:rPr>
          <w:rFonts w:hint="eastAsia" w:cs="Times New Roman"/>
          <w:color w:val="auto"/>
          <w:lang w:val="en-US" w:eastAsia="zh-CN"/>
        </w:rPr>
        <w:t>: prioritize the following UE RF requirements for the following discussions: Maximum output power, Power dynamic range, spectral mask, ACLR, Noise figure, Sensitivity, ACS, Blocking.</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1</w:t>
      </w:r>
      <w:r>
        <w:rPr>
          <w:rFonts w:hint="eastAsia" w:cs="Times New Roman"/>
          <w:b w:val="0"/>
          <w:bCs w:val="0"/>
          <w:highlight w:val="none"/>
          <w:lang w:val="en-US" w:eastAsia="zh-CN"/>
        </w:rPr>
        <w:t xml:space="preserve">: given the wide area coverage assumption for 15GHz as baseline, even with 4096 antenna elements implementation assuming FR2 hybrid architecture, its total transmission power might be still limiting factor to achieve similar coverage as 4GHz from BS perspective. </w:t>
      </w:r>
    </w:p>
    <w:p>
      <w:pPr>
        <w:widowControl/>
        <w:numPr>
          <w:ilvl w:val="0"/>
          <w:numId w:val="0"/>
        </w:numPr>
        <w:jc w:val="left"/>
        <w:rPr>
          <w:rFonts w:hint="eastAsia" w:cs="Times New Roman"/>
          <w:b w:val="0"/>
          <w:bCs w:val="0"/>
          <w:highlight w:val="none"/>
          <w:lang w:val="en-US" w:eastAsia="zh-CN"/>
        </w:rPr>
      </w:pPr>
      <w:r>
        <w:rPr>
          <w:rFonts w:hint="eastAsia" w:cs="Times New Roman"/>
          <w:b/>
          <w:bCs/>
          <w:highlight w:val="none"/>
          <w:lang w:val="en-US" w:eastAsia="zh-CN"/>
        </w:rPr>
        <w:t>Observation 2</w:t>
      </w:r>
      <w:r>
        <w:rPr>
          <w:rFonts w:hint="eastAsia" w:cs="Times New Roman"/>
          <w:b w:val="0"/>
          <w:bCs w:val="0"/>
          <w:highlight w:val="none"/>
          <w:lang w:val="en-US" w:eastAsia="zh-CN"/>
        </w:rPr>
        <w:t xml:space="preserve">: UE with phase antenna array assumption could offer the additional help on mitigation the coverage gap between 4GHz and 15GHz. </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3</w:t>
      </w:r>
      <w:r>
        <w:rPr>
          <w:rFonts w:hint="eastAsia" w:cs="Times New Roman"/>
          <w:b w:val="0"/>
          <w:bCs w:val="0"/>
          <w:highlight w:val="none"/>
          <w:lang w:val="en-US" w:eastAsia="zh-CN"/>
        </w:rPr>
        <w:t xml:space="preserve">: for BS with 4096 antenna elements assumption at 15GHz, both near filed problem should be taken into account according to the current WA BS class assumption. </w:t>
      </w:r>
    </w:p>
    <w:p>
      <w:pPr>
        <w:widowControl/>
        <w:jc w:val="left"/>
        <w:rPr>
          <w:rFonts w:hint="eastAsia" w:cs="Times New Roman"/>
          <w:b w:val="0"/>
          <w:bCs w:val="0"/>
          <w:highlight w:val="none"/>
          <w:lang w:val="en-US" w:eastAsia="zh-CN"/>
        </w:rPr>
      </w:pPr>
      <w:r>
        <w:rPr>
          <w:rFonts w:hint="eastAsia" w:cs="Times New Roman"/>
          <w:b/>
          <w:bCs/>
          <w:lang w:val="en-US" w:eastAsia="zh-CN"/>
        </w:rPr>
        <w:t>Observation 4</w:t>
      </w:r>
      <w:r>
        <w:rPr>
          <w:rFonts w:hint="eastAsia" w:cs="Times New Roman"/>
          <w:b w:val="0"/>
          <w:bCs w:val="0"/>
          <w:lang w:val="en-US" w:eastAsia="zh-CN"/>
        </w:rPr>
        <w:t xml:space="preserve">: UE with phase antenna array assumption could offer the additional help on mitigation the coverage gap between 7GHz and 15GHz. </w:t>
      </w:r>
    </w:p>
    <w:p>
      <w:pPr>
        <w:pStyle w:val="57"/>
        <w:tabs>
          <w:tab w:val="left" w:pos="567"/>
          <w:tab w:val="clear" w:pos="1985"/>
        </w:tabs>
        <w:adjustRightInd w:val="0"/>
        <w:ind w:left="510" w:hanging="510"/>
      </w:pPr>
      <w:r>
        <w:t>References</w:t>
      </w:r>
    </w:p>
    <w:p>
      <w:pPr>
        <w:pStyle w:val="55"/>
        <w:numPr>
          <w:ilvl w:val="0"/>
          <w:numId w:val="8"/>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8"/>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8"/>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8"/>
        </w:numPr>
        <w:rPr>
          <w:rFonts w:hint="eastAsia"/>
          <w:sz w:val="20"/>
          <w:szCs w:val="20"/>
        </w:rPr>
      </w:pPr>
      <w:r>
        <w:rPr>
          <w:rFonts w:hint="eastAsia"/>
          <w:sz w:val="20"/>
          <w:szCs w:val="20"/>
          <w:lang w:val="en-US" w:eastAsia="zh-CN"/>
        </w:rPr>
        <w:t>TR 38.921</w:t>
      </w:r>
    </w:p>
    <w:p>
      <w:pPr>
        <w:pStyle w:val="55"/>
        <w:numPr>
          <w:ilvl w:val="0"/>
          <w:numId w:val="8"/>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8"/>
        </w:numPr>
        <w:rPr>
          <w:rFonts w:hint="eastAsia"/>
          <w:sz w:val="20"/>
          <w:szCs w:val="20"/>
        </w:rPr>
      </w:pPr>
      <w:r>
        <w:rPr>
          <w:rFonts w:hint="eastAsia" w:ascii="Times New Roman" w:hAnsi="Times New Roman" w:eastAsia="宋体" w:cs="Times New Roman"/>
          <w:kern w:val="2"/>
          <w:sz w:val="20"/>
          <w:szCs w:val="20"/>
          <w:lang w:val="en-US" w:eastAsia="zh-CN" w:bidi="ar"/>
        </w:rPr>
        <w:t>R4-2211224</w:t>
      </w:r>
      <w:r>
        <w:rPr>
          <w:rFonts w:hint="eastAsia" w:cs="Times New Roman"/>
          <w:kern w:val="2"/>
          <w:sz w:val="20"/>
          <w:szCs w:val="20"/>
          <w:lang w:val="en-US" w:eastAsia="zh-CN" w:bidi="ar"/>
        </w:rPr>
        <w:t>,</w:t>
      </w:r>
      <w:ins w:id="0" w:author="ZTE, Fei Xue" w:date="2024-03-30T16:30:34Z">
        <w:r>
          <w:rPr>
            <w:rFonts w:hint="eastAsia" w:cs="Times New Roman"/>
            <w:kern w:val="2"/>
            <w:sz w:val="20"/>
            <w:szCs w:val="20"/>
            <w:lang w:val="en-US" w:eastAsia="zh-CN" w:bidi="ar"/>
          </w:rPr>
          <w:t xml:space="preserve"> </w:t>
        </w:r>
      </w:ins>
      <w:r>
        <w:rPr>
          <w:rFonts w:hint="eastAsia" w:ascii="Times New Roman" w:hAnsi="Times New Roman" w:eastAsia="宋体" w:cs="Times New Roman"/>
          <w:kern w:val="2"/>
          <w:sz w:val="20"/>
          <w:szCs w:val="20"/>
          <w:lang w:val="en-US" w:eastAsia="zh-CN" w:bidi="ar"/>
        </w:rPr>
        <w:t xml:space="preserve">Introduction of NR licensed band 6425 </w:t>
      </w:r>
      <w:r>
        <w:rPr>
          <w:rFonts w:hint="eastAsia" w:cs="Times New Roman"/>
          <w:kern w:val="2"/>
          <w:sz w:val="20"/>
          <w:szCs w:val="20"/>
          <w:lang w:val="en-US" w:eastAsia="zh-CN" w:bidi="ar"/>
        </w:rPr>
        <w:t>-</w:t>
      </w:r>
      <w:r>
        <w:rPr>
          <w:rFonts w:hint="eastAsia" w:ascii="Times New Roman" w:hAnsi="Times New Roman" w:eastAsia="宋体" w:cs="Times New Roman"/>
          <w:kern w:val="2"/>
          <w:sz w:val="20"/>
          <w:szCs w:val="20"/>
          <w:lang w:val="en-US" w:eastAsia="zh-CN" w:bidi="ar"/>
        </w:rPr>
        <w:t>7125 MHz</w:t>
      </w:r>
      <w:r>
        <w:rPr>
          <w:rFonts w:hint="eastAsia" w:cs="Times New Roman"/>
          <w:kern w:val="2"/>
          <w:sz w:val="20"/>
          <w:szCs w:val="20"/>
          <w:lang w:val="en-US" w:eastAsia="zh-CN" w:bidi="ar"/>
        </w:rPr>
        <w:t>, Approved.</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55EF55B"/>
    <w:multiLevelType w:val="singleLevel"/>
    <w:tmpl w:val="F55EF55B"/>
    <w:lvl w:ilvl="0" w:tentative="0">
      <w:start w:val="1"/>
      <w:numFmt w:val="decimal"/>
      <w:suff w:val="space"/>
      <w:lvlText w:val="%1)"/>
      <w:lvlJc w:val="left"/>
    </w:lvl>
  </w:abstractNum>
  <w:abstractNum w:abstractNumId="2">
    <w:nsid w:val="2F503AC6"/>
    <w:multiLevelType w:val="multilevel"/>
    <w:tmpl w:val="2F503A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FDE93FE"/>
    <w:multiLevelType w:val="singleLevel"/>
    <w:tmpl w:val="4FDE93FE"/>
    <w:lvl w:ilvl="0" w:tentative="0">
      <w:start w:val="1"/>
      <w:numFmt w:val="decimal"/>
      <w:suff w:val="space"/>
      <w:lvlText w:val="%1)"/>
      <w:lvlJc w:val="left"/>
    </w:lvl>
  </w:abstractNum>
  <w:abstractNum w:abstractNumId="4">
    <w:nsid w:val="5970564F"/>
    <w:multiLevelType w:val="multilevel"/>
    <w:tmpl w:val="597056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CC4C5F7"/>
    <w:multiLevelType w:val="singleLevel"/>
    <w:tmpl w:val="6CC4C5F7"/>
    <w:lvl w:ilvl="0" w:tentative="0">
      <w:start w:val="1"/>
      <w:numFmt w:val="decimal"/>
      <w:suff w:val="space"/>
      <w:lvlText w:val="%1)"/>
      <w:lvlJc w:val="left"/>
    </w:lvl>
  </w:abstractNum>
  <w:abstractNum w:abstractNumId="7">
    <w:nsid w:val="6F43239C"/>
    <w:multiLevelType w:val="multilevel"/>
    <w:tmpl w:val="6F4323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2"/>
  </w:num>
  <w:num w:numId="4">
    <w:abstractNumId w:val="4"/>
  </w:num>
  <w:num w:numId="5">
    <w:abstractNumId w:val="6"/>
  </w:num>
  <w:num w:numId="6">
    <w:abstractNumId w:val="1"/>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307A3"/>
    <w:rsid w:val="01A402CD"/>
    <w:rsid w:val="01A742A2"/>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9203D"/>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9D2B3B"/>
    <w:rsid w:val="04A128B3"/>
    <w:rsid w:val="04A3117E"/>
    <w:rsid w:val="04C6655F"/>
    <w:rsid w:val="04CD2C67"/>
    <w:rsid w:val="04D66461"/>
    <w:rsid w:val="04D95F6F"/>
    <w:rsid w:val="04E06510"/>
    <w:rsid w:val="04E17CFD"/>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B2191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152BE"/>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EF5EB0"/>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85AD0"/>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4AC9"/>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C75B1"/>
    <w:rsid w:val="0EE77EDF"/>
    <w:rsid w:val="0EEC53AA"/>
    <w:rsid w:val="0EF75D05"/>
    <w:rsid w:val="0EF957FE"/>
    <w:rsid w:val="0EFE2ACB"/>
    <w:rsid w:val="0F0752A8"/>
    <w:rsid w:val="0F087675"/>
    <w:rsid w:val="0F0D240A"/>
    <w:rsid w:val="0F0E2F3A"/>
    <w:rsid w:val="0F12247A"/>
    <w:rsid w:val="0F1D0ECD"/>
    <w:rsid w:val="0F25602A"/>
    <w:rsid w:val="0F2A5B58"/>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2672D1"/>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C40346"/>
    <w:rsid w:val="10C85160"/>
    <w:rsid w:val="10CC5735"/>
    <w:rsid w:val="10D679E0"/>
    <w:rsid w:val="10DF786B"/>
    <w:rsid w:val="10E018B7"/>
    <w:rsid w:val="10EC75B1"/>
    <w:rsid w:val="10F33CC1"/>
    <w:rsid w:val="10FA45D2"/>
    <w:rsid w:val="10FD6E37"/>
    <w:rsid w:val="11024527"/>
    <w:rsid w:val="110A4489"/>
    <w:rsid w:val="11150F62"/>
    <w:rsid w:val="11185797"/>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A6462"/>
    <w:rsid w:val="12CB4026"/>
    <w:rsid w:val="12D16C9D"/>
    <w:rsid w:val="12D20ECB"/>
    <w:rsid w:val="12D3580F"/>
    <w:rsid w:val="12D93C20"/>
    <w:rsid w:val="12D95CCD"/>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802F8"/>
    <w:rsid w:val="144442DA"/>
    <w:rsid w:val="144C6544"/>
    <w:rsid w:val="144F7DD8"/>
    <w:rsid w:val="14547289"/>
    <w:rsid w:val="14556F31"/>
    <w:rsid w:val="14601A0D"/>
    <w:rsid w:val="1462340B"/>
    <w:rsid w:val="14697AC5"/>
    <w:rsid w:val="147538F3"/>
    <w:rsid w:val="147544B0"/>
    <w:rsid w:val="14794C74"/>
    <w:rsid w:val="148111B0"/>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96857"/>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92AE3"/>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1B77"/>
    <w:rsid w:val="15D7597F"/>
    <w:rsid w:val="15E32BB5"/>
    <w:rsid w:val="15E53C49"/>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982458"/>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331DAD"/>
    <w:rsid w:val="18397C4D"/>
    <w:rsid w:val="183E4121"/>
    <w:rsid w:val="183F3DA9"/>
    <w:rsid w:val="184068C1"/>
    <w:rsid w:val="18420253"/>
    <w:rsid w:val="1848540C"/>
    <w:rsid w:val="184D7802"/>
    <w:rsid w:val="18524B4C"/>
    <w:rsid w:val="18533B98"/>
    <w:rsid w:val="185546D2"/>
    <w:rsid w:val="185A7BDE"/>
    <w:rsid w:val="18674D45"/>
    <w:rsid w:val="186B15D6"/>
    <w:rsid w:val="186C1DBE"/>
    <w:rsid w:val="186C5153"/>
    <w:rsid w:val="186E738D"/>
    <w:rsid w:val="186F36A8"/>
    <w:rsid w:val="18710E9B"/>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37076"/>
    <w:rsid w:val="195621A4"/>
    <w:rsid w:val="19564B19"/>
    <w:rsid w:val="195D74B8"/>
    <w:rsid w:val="195E2D4F"/>
    <w:rsid w:val="195F336A"/>
    <w:rsid w:val="19614F51"/>
    <w:rsid w:val="19675935"/>
    <w:rsid w:val="19684070"/>
    <w:rsid w:val="196A0432"/>
    <w:rsid w:val="196A361C"/>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84D8B"/>
    <w:rsid w:val="19CA4702"/>
    <w:rsid w:val="19D01D27"/>
    <w:rsid w:val="19D472FE"/>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029AD"/>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05641"/>
    <w:rsid w:val="1CD363DF"/>
    <w:rsid w:val="1CD8702E"/>
    <w:rsid w:val="1CD97139"/>
    <w:rsid w:val="1CE13063"/>
    <w:rsid w:val="1CE2616E"/>
    <w:rsid w:val="1CE533B7"/>
    <w:rsid w:val="1CF15683"/>
    <w:rsid w:val="1CF333A5"/>
    <w:rsid w:val="1CF53F65"/>
    <w:rsid w:val="1CF702E1"/>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7E5172"/>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444DB1"/>
    <w:rsid w:val="1E6703B7"/>
    <w:rsid w:val="1E680B85"/>
    <w:rsid w:val="1E6B2336"/>
    <w:rsid w:val="1E712925"/>
    <w:rsid w:val="1E7845CD"/>
    <w:rsid w:val="1E8028A0"/>
    <w:rsid w:val="1E8261B5"/>
    <w:rsid w:val="1E8B032D"/>
    <w:rsid w:val="1E8B7AD0"/>
    <w:rsid w:val="1E8E3E30"/>
    <w:rsid w:val="1E937874"/>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F01649D"/>
    <w:rsid w:val="1F073974"/>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03F37"/>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6C0B"/>
    <w:rsid w:val="22653451"/>
    <w:rsid w:val="22680B07"/>
    <w:rsid w:val="22681A0E"/>
    <w:rsid w:val="226E20BA"/>
    <w:rsid w:val="22713317"/>
    <w:rsid w:val="227D6059"/>
    <w:rsid w:val="227F5037"/>
    <w:rsid w:val="228041D7"/>
    <w:rsid w:val="22871AF1"/>
    <w:rsid w:val="228A008B"/>
    <w:rsid w:val="228A2082"/>
    <w:rsid w:val="228D63FC"/>
    <w:rsid w:val="22914245"/>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2D64"/>
    <w:rsid w:val="2341558C"/>
    <w:rsid w:val="23415924"/>
    <w:rsid w:val="23437735"/>
    <w:rsid w:val="23566DDF"/>
    <w:rsid w:val="23572E7E"/>
    <w:rsid w:val="23576BEC"/>
    <w:rsid w:val="235924CA"/>
    <w:rsid w:val="23592D87"/>
    <w:rsid w:val="235F162F"/>
    <w:rsid w:val="23630D0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81AC6"/>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62FEE"/>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46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B5C91"/>
    <w:rsid w:val="25CC4C1C"/>
    <w:rsid w:val="25CD7961"/>
    <w:rsid w:val="25D32AED"/>
    <w:rsid w:val="25D33C43"/>
    <w:rsid w:val="25D64403"/>
    <w:rsid w:val="25DC0E91"/>
    <w:rsid w:val="25E32F35"/>
    <w:rsid w:val="25EB7CD4"/>
    <w:rsid w:val="25F04B7D"/>
    <w:rsid w:val="25F51596"/>
    <w:rsid w:val="25F67042"/>
    <w:rsid w:val="25FC3FDE"/>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BD2331"/>
    <w:rsid w:val="26C36DE5"/>
    <w:rsid w:val="26C9404D"/>
    <w:rsid w:val="26CD53A8"/>
    <w:rsid w:val="26D2031D"/>
    <w:rsid w:val="26D323BB"/>
    <w:rsid w:val="26D45590"/>
    <w:rsid w:val="26DA3D9D"/>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41E22"/>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54C19"/>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BE14E7"/>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6591A"/>
    <w:rsid w:val="2A2F350E"/>
    <w:rsid w:val="2A374404"/>
    <w:rsid w:val="2A3B063B"/>
    <w:rsid w:val="2A3B6454"/>
    <w:rsid w:val="2A3E15CC"/>
    <w:rsid w:val="2A4141AD"/>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B305B"/>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966D05"/>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72AB2"/>
    <w:rsid w:val="2E1859B1"/>
    <w:rsid w:val="2E190FE7"/>
    <w:rsid w:val="2E195433"/>
    <w:rsid w:val="2E2630D7"/>
    <w:rsid w:val="2E2806DD"/>
    <w:rsid w:val="2E2A4425"/>
    <w:rsid w:val="2E2F3046"/>
    <w:rsid w:val="2E302808"/>
    <w:rsid w:val="2E3A3030"/>
    <w:rsid w:val="2E3C084B"/>
    <w:rsid w:val="2E415BED"/>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DD34FD"/>
    <w:rsid w:val="2EEA307E"/>
    <w:rsid w:val="2EEF6737"/>
    <w:rsid w:val="2EF171CF"/>
    <w:rsid w:val="2EF276DC"/>
    <w:rsid w:val="2EF53C20"/>
    <w:rsid w:val="2EFC5DDD"/>
    <w:rsid w:val="2F002CCF"/>
    <w:rsid w:val="2F0160A3"/>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B54EA"/>
    <w:rsid w:val="2F805714"/>
    <w:rsid w:val="2F811998"/>
    <w:rsid w:val="2F8166C8"/>
    <w:rsid w:val="2F8640C4"/>
    <w:rsid w:val="2F8E5F5C"/>
    <w:rsid w:val="2F921FAC"/>
    <w:rsid w:val="2F972B68"/>
    <w:rsid w:val="2F9874EB"/>
    <w:rsid w:val="2F9A178A"/>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DE7DEF"/>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719B0"/>
    <w:rsid w:val="322A5516"/>
    <w:rsid w:val="322B6C88"/>
    <w:rsid w:val="322C6DC4"/>
    <w:rsid w:val="32341397"/>
    <w:rsid w:val="3238698E"/>
    <w:rsid w:val="323C17A1"/>
    <w:rsid w:val="323E5B9E"/>
    <w:rsid w:val="32474D27"/>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37BDB"/>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660BA"/>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B781E"/>
    <w:rsid w:val="347F540F"/>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DE2CCB"/>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AC71C8"/>
    <w:rsid w:val="35B31B82"/>
    <w:rsid w:val="35BD2DC2"/>
    <w:rsid w:val="35BF7A04"/>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65A02"/>
    <w:rsid w:val="390D48A5"/>
    <w:rsid w:val="39105718"/>
    <w:rsid w:val="39147611"/>
    <w:rsid w:val="39295CDE"/>
    <w:rsid w:val="392B6A4C"/>
    <w:rsid w:val="393125F0"/>
    <w:rsid w:val="393232FB"/>
    <w:rsid w:val="393544DD"/>
    <w:rsid w:val="393873DF"/>
    <w:rsid w:val="393962EC"/>
    <w:rsid w:val="393B0348"/>
    <w:rsid w:val="393F6CD7"/>
    <w:rsid w:val="39457868"/>
    <w:rsid w:val="394620D9"/>
    <w:rsid w:val="39462EDC"/>
    <w:rsid w:val="394935B8"/>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82E95"/>
    <w:rsid w:val="3D5A05E2"/>
    <w:rsid w:val="3D5C63D4"/>
    <w:rsid w:val="3D5E50E6"/>
    <w:rsid w:val="3D5F6029"/>
    <w:rsid w:val="3D6065CA"/>
    <w:rsid w:val="3D611CC7"/>
    <w:rsid w:val="3D6223C0"/>
    <w:rsid w:val="3D641D7A"/>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6F6C"/>
    <w:rsid w:val="3FE702F1"/>
    <w:rsid w:val="3FE9250A"/>
    <w:rsid w:val="3FEA4714"/>
    <w:rsid w:val="3FEB1C22"/>
    <w:rsid w:val="3FEE2117"/>
    <w:rsid w:val="3FF006FF"/>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A1C0C"/>
    <w:rsid w:val="40EF3C78"/>
    <w:rsid w:val="40F00A85"/>
    <w:rsid w:val="40F1013C"/>
    <w:rsid w:val="40F35427"/>
    <w:rsid w:val="40FA38BC"/>
    <w:rsid w:val="40FE1447"/>
    <w:rsid w:val="41053DED"/>
    <w:rsid w:val="41216875"/>
    <w:rsid w:val="412506DF"/>
    <w:rsid w:val="412D52A9"/>
    <w:rsid w:val="41320BD6"/>
    <w:rsid w:val="413314B6"/>
    <w:rsid w:val="4133548F"/>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52CD5"/>
    <w:rsid w:val="42571AE1"/>
    <w:rsid w:val="425C6315"/>
    <w:rsid w:val="42637522"/>
    <w:rsid w:val="4268449D"/>
    <w:rsid w:val="42697E79"/>
    <w:rsid w:val="426E536F"/>
    <w:rsid w:val="427034C5"/>
    <w:rsid w:val="42730E0D"/>
    <w:rsid w:val="427409B9"/>
    <w:rsid w:val="427E301C"/>
    <w:rsid w:val="42831021"/>
    <w:rsid w:val="42863926"/>
    <w:rsid w:val="4287026E"/>
    <w:rsid w:val="42873CB7"/>
    <w:rsid w:val="428A607C"/>
    <w:rsid w:val="429110B8"/>
    <w:rsid w:val="429252A3"/>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3BAB"/>
    <w:rsid w:val="436C40C2"/>
    <w:rsid w:val="437D6585"/>
    <w:rsid w:val="438042AD"/>
    <w:rsid w:val="43837C39"/>
    <w:rsid w:val="43853F53"/>
    <w:rsid w:val="438927F2"/>
    <w:rsid w:val="438A406B"/>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27BB6"/>
    <w:rsid w:val="43D67A91"/>
    <w:rsid w:val="43E21F58"/>
    <w:rsid w:val="43E35EF0"/>
    <w:rsid w:val="43F71BCF"/>
    <w:rsid w:val="43F76F69"/>
    <w:rsid w:val="43F90FED"/>
    <w:rsid w:val="43F9776B"/>
    <w:rsid w:val="43FC0DB2"/>
    <w:rsid w:val="44051440"/>
    <w:rsid w:val="44095B4D"/>
    <w:rsid w:val="440C5D56"/>
    <w:rsid w:val="44153F0C"/>
    <w:rsid w:val="44174583"/>
    <w:rsid w:val="441909AD"/>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3FB4"/>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026AD"/>
    <w:rsid w:val="45F4334C"/>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455D2"/>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11604"/>
    <w:rsid w:val="482B39B5"/>
    <w:rsid w:val="482D350F"/>
    <w:rsid w:val="483A4006"/>
    <w:rsid w:val="483B5BCA"/>
    <w:rsid w:val="483C2A8C"/>
    <w:rsid w:val="483F5850"/>
    <w:rsid w:val="48424FA1"/>
    <w:rsid w:val="484647AE"/>
    <w:rsid w:val="484E1A14"/>
    <w:rsid w:val="484F1901"/>
    <w:rsid w:val="485216B9"/>
    <w:rsid w:val="48594C05"/>
    <w:rsid w:val="485D5413"/>
    <w:rsid w:val="485D58DA"/>
    <w:rsid w:val="485F3492"/>
    <w:rsid w:val="4864535D"/>
    <w:rsid w:val="48664A02"/>
    <w:rsid w:val="4869579D"/>
    <w:rsid w:val="487141DB"/>
    <w:rsid w:val="48740F16"/>
    <w:rsid w:val="48747A97"/>
    <w:rsid w:val="48754F4E"/>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02E1F"/>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B068A"/>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8B54DD"/>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54AB7"/>
    <w:rsid w:val="50095827"/>
    <w:rsid w:val="50100572"/>
    <w:rsid w:val="5014542B"/>
    <w:rsid w:val="50167359"/>
    <w:rsid w:val="50186BF6"/>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22A1E"/>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B51C6"/>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60559"/>
    <w:rsid w:val="548810E8"/>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1A2D"/>
    <w:rsid w:val="54CD258C"/>
    <w:rsid w:val="54CE1B9D"/>
    <w:rsid w:val="54DF688B"/>
    <w:rsid w:val="54E337DD"/>
    <w:rsid w:val="54E85E2E"/>
    <w:rsid w:val="54E95643"/>
    <w:rsid w:val="550E6C32"/>
    <w:rsid w:val="551161E5"/>
    <w:rsid w:val="55156991"/>
    <w:rsid w:val="551C2E90"/>
    <w:rsid w:val="552D52C7"/>
    <w:rsid w:val="55397CF2"/>
    <w:rsid w:val="5546565D"/>
    <w:rsid w:val="554E0863"/>
    <w:rsid w:val="555737A6"/>
    <w:rsid w:val="55577AFF"/>
    <w:rsid w:val="55597711"/>
    <w:rsid w:val="556101D6"/>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B75A6"/>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30F7D"/>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13BD"/>
    <w:rsid w:val="5BB576AD"/>
    <w:rsid w:val="5BB6242D"/>
    <w:rsid w:val="5BB76EBD"/>
    <w:rsid w:val="5BBD24BF"/>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34262"/>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F5936"/>
    <w:rsid w:val="5DC41A63"/>
    <w:rsid w:val="5DD70750"/>
    <w:rsid w:val="5DE44DF4"/>
    <w:rsid w:val="5DED4540"/>
    <w:rsid w:val="5E00720B"/>
    <w:rsid w:val="5E012896"/>
    <w:rsid w:val="5E035C0E"/>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40BE5"/>
    <w:rsid w:val="5EB52E6F"/>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1416"/>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652C4"/>
    <w:rsid w:val="5FE73834"/>
    <w:rsid w:val="5FEB0680"/>
    <w:rsid w:val="5FF744A9"/>
    <w:rsid w:val="5FF76947"/>
    <w:rsid w:val="5FFB17C7"/>
    <w:rsid w:val="5FFE6C22"/>
    <w:rsid w:val="60000309"/>
    <w:rsid w:val="600B6B90"/>
    <w:rsid w:val="600C3224"/>
    <w:rsid w:val="600F6605"/>
    <w:rsid w:val="60143AD3"/>
    <w:rsid w:val="601F7A80"/>
    <w:rsid w:val="60281FCD"/>
    <w:rsid w:val="602876AC"/>
    <w:rsid w:val="602D6A03"/>
    <w:rsid w:val="603215F4"/>
    <w:rsid w:val="603771DA"/>
    <w:rsid w:val="603E61ED"/>
    <w:rsid w:val="60447E31"/>
    <w:rsid w:val="604C5236"/>
    <w:rsid w:val="605006BC"/>
    <w:rsid w:val="60584E5C"/>
    <w:rsid w:val="606162D0"/>
    <w:rsid w:val="60674769"/>
    <w:rsid w:val="606F545C"/>
    <w:rsid w:val="607079E9"/>
    <w:rsid w:val="60734371"/>
    <w:rsid w:val="607761FD"/>
    <w:rsid w:val="60830460"/>
    <w:rsid w:val="6085543E"/>
    <w:rsid w:val="60856987"/>
    <w:rsid w:val="608A68B0"/>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38B4"/>
    <w:rsid w:val="61A11A3C"/>
    <w:rsid w:val="61A4486B"/>
    <w:rsid w:val="61AC5090"/>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90347"/>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3E7C"/>
    <w:rsid w:val="64E5543E"/>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A82"/>
    <w:rsid w:val="65CE3D15"/>
    <w:rsid w:val="65D43869"/>
    <w:rsid w:val="65D64BB3"/>
    <w:rsid w:val="65D70270"/>
    <w:rsid w:val="65E91B08"/>
    <w:rsid w:val="65F2016B"/>
    <w:rsid w:val="65F5725F"/>
    <w:rsid w:val="65FA05DC"/>
    <w:rsid w:val="65FB005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77D2D"/>
    <w:rsid w:val="672A4901"/>
    <w:rsid w:val="672E50FE"/>
    <w:rsid w:val="67331724"/>
    <w:rsid w:val="6733491A"/>
    <w:rsid w:val="673360E2"/>
    <w:rsid w:val="67346319"/>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CF333B"/>
    <w:rsid w:val="67D9695E"/>
    <w:rsid w:val="67DB5BED"/>
    <w:rsid w:val="67DC5CEA"/>
    <w:rsid w:val="67DF18A0"/>
    <w:rsid w:val="67E024C8"/>
    <w:rsid w:val="67E35B0A"/>
    <w:rsid w:val="67EA524A"/>
    <w:rsid w:val="67F0511C"/>
    <w:rsid w:val="67F11B7D"/>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11D83"/>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F3842"/>
    <w:rsid w:val="69731101"/>
    <w:rsid w:val="6974083C"/>
    <w:rsid w:val="697D087B"/>
    <w:rsid w:val="69807B1E"/>
    <w:rsid w:val="698D012C"/>
    <w:rsid w:val="69992E3D"/>
    <w:rsid w:val="699A7E83"/>
    <w:rsid w:val="69A407D7"/>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102D8"/>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90BA5"/>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2704C"/>
    <w:rsid w:val="6BE40FB6"/>
    <w:rsid w:val="6BEA30F0"/>
    <w:rsid w:val="6BEA5C11"/>
    <w:rsid w:val="6BEC52EB"/>
    <w:rsid w:val="6BEE02A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A25A5"/>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500C0"/>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0A38"/>
    <w:rsid w:val="6F607895"/>
    <w:rsid w:val="6F61040C"/>
    <w:rsid w:val="6F6776E1"/>
    <w:rsid w:val="6F702CF5"/>
    <w:rsid w:val="6F714EFF"/>
    <w:rsid w:val="6F797787"/>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458A7"/>
    <w:rsid w:val="70146689"/>
    <w:rsid w:val="70152C7C"/>
    <w:rsid w:val="70170F2B"/>
    <w:rsid w:val="701830B7"/>
    <w:rsid w:val="701C3A0F"/>
    <w:rsid w:val="701E2FAB"/>
    <w:rsid w:val="70206203"/>
    <w:rsid w:val="70206C25"/>
    <w:rsid w:val="702267D2"/>
    <w:rsid w:val="70291A05"/>
    <w:rsid w:val="70326141"/>
    <w:rsid w:val="70343726"/>
    <w:rsid w:val="703662DF"/>
    <w:rsid w:val="70370653"/>
    <w:rsid w:val="70385F59"/>
    <w:rsid w:val="70387A8F"/>
    <w:rsid w:val="70494AF1"/>
    <w:rsid w:val="704A6916"/>
    <w:rsid w:val="7054528E"/>
    <w:rsid w:val="70555B90"/>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03094"/>
    <w:rsid w:val="70E47264"/>
    <w:rsid w:val="70F04773"/>
    <w:rsid w:val="70F147D7"/>
    <w:rsid w:val="70F71533"/>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814AA3"/>
    <w:rsid w:val="738744DD"/>
    <w:rsid w:val="73893467"/>
    <w:rsid w:val="738A36E1"/>
    <w:rsid w:val="73912A81"/>
    <w:rsid w:val="73970334"/>
    <w:rsid w:val="739B1EFF"/>
    <w:rsid w:val="73A16D22"/>
    <w:rsid w:val="73B001E3"/>
    <w:rsid w:val="73B04FEC"/>
    <w:rsid w:val="73B1400F"/>
    <w:rsid w:val="73B4611E"/>
    <w:rsid w:val="73B7366A"/>
    <w:rsid w:val="73BA064C"/>
    <w:rsid w:val="73BB3C6E"/>
    <w:rsid w:val="73C82103"/>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D2327"/>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145FD"/>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42035"/>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501"/>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C602F"/>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B6EA7"/>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321BF"/>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32A05"/>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8403DB"/>
    <w:rsid w:val="7F8660CD"/>
    <w:rsid w:val="7F8A2E2C"/>
    <w:rsid w:val="7F963419"/>
    <w:rsid w:val="7F98528E"/>
    <w:rsid w:val="7FA069EC"/>
    <w:rsid w:val="7FAC155A"/>
    <w:rsid w:val="7FB351E6"/>
    <w:rsid w:val="7FB422D4"/>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2024-08-09T13:06:18Z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